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8C22" w14:textId="72A179CA" w:rsidR="0070572A" w:rsidRPr="0070572A" w:rsidRDefault="0070572A" w:rsidP="0070572A">
      <w:pPr>
        <w:rPr>
          <w:b/>
          <w:sz w:val="22"/>
          <w:szCs w:val="22"/>
          <w:vertAlign w:val="superscript"/>
        </w:rPr>
      </w:pPr>
      <w:r>
        <w:rPr>
          <w:noProof/>
        </w:rPr>
        <w:drawing>
          <wp:anchor distT="0" distB="274320" distL="114300" distR="114300" simplePos="0" relativeHeight="251659264" behindDoc="0" locked="0" layoutInCell="1" allowOverlap="1" wp14:anchorId="0C869E4C" wp14:editId="23737C6A">
            <wp:simplePos x="0" y="0"/>
            <wp:positionH relativeFrom="column">
              <wp:posOffset>-117475</wp:posOffset>
            </wp:positionH>
            <wp:positionV relativeFrom="paragraph">
              <wp:posOffset>-479425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TAG #</w:t>
      </w:r>
      <w:r w:rsidR="009B17F7">
        <w:rPr>
          <w:b/>
          <w:sz w:val="22"/>
          <w:szCs w:val="22"/>
        </w:rPr>
        <w:t>2</w:t>
      </w:r>
      <w:r>
        <w:rPr>
          <w:b/>
          <w:sz w:val="22"/>
          <w:szCs w:val="22"/>
        </w:rPr>
        <w:t xml:space="preserve"> </w:t>
      </w:r>
      <w:r w:rsidR="009B17F7">
        <w:rPr>
          <w:b/>
          <w:sz w:val="22"/>
          <w:szCs w:val="22"/>
        </w:rPr>
        <w:t>–</w:t>
      </w:r>
      <w:r>
        <w:rPr>
          <w:b/>
          <w:sz w:val="22"/>
          <w:szCs w:val="22"/>
          <w:vertAlign w:val="superscript"/>
        </w:rPr>
        <w:t xml:space="preserve"> </w:t>
      </w:r>
      <w:r w:rsidR="009B17F7">
        <w:rPr>
          <w:b/>
          <w:sz w:val="22"/>
          <w:szCs w:val="22"/>
        </w:rPr>
        <w:t xml:space="preserve">WUTC </w:t>
      </w:r>
      <w:r>
        <w:rPr>
          <w:b/>
          <w:sz w:val="22"/>
          <w:szCs w:val="22"/>
        </w:rPr>
        <w:t>TAG Meeting</w:t>
      </w:r>
      <w:r w:rsidRPr="004115AF">
        <w:rPr>
          <w:b/>
          <w:sz w:val="22"/>
          <w:szCs w:val="22"/>
        </w:rPr>
        <w:t xml:space="preserve"> </w:t>
      </w:r>
    </w:p>
    <w:p w14:paraId="7864D3F5" w14:textId="3F3DD5DD" w:rsidR="0070572A" w:rsidRPr="003E6977" w:rsidRDefault="0070572A" w:rsidP="0070572A">
      <w:r>
        <w:rPr>
          <w:b/>
        </w:rPr>
        <w:t>Date &amp; time:</w:t>
      </w:r>
      <w:r>
        <w:rPr>
          <w:b/>
        </w:rPr>
        <w:tab/>
      </w:r>
      <w:r>
        <w:rPr>
          <w:b/>
        </w:rPr>
        <w:tab/>
      </w:r>
      <w:r w:rsidR="009B17F7">
        <w:t>05/27/2020</w:t>
      </w:r>
      <w:r>
        <w:t>, 09:00 AM – 1</w:t>
      </w:r>
      <w:r w:rsidR="009B17F7">
        <w:t>1:00 AM</w:t>
      </w:r>
    </w:p>
    <w:p w14:paraId="4F245584" w14:textId="3E7A2B08" w:rsidR="0070572A" w:rsidRPr="009E02D2" w:rsidRDefault="0070572A" w:rsidP="0070572A">
      <w:r>
        <w:rPr>
          <w:b/>
        </w:rPr>
        <w:t>Location:</w:t>
      </w:r>
      <w:r>
        <w:rPr>
          <w:b/>
        </w:rPr>
        <w:tab/>
      </w:r>
      <w:r>
        <w:rPr>
          <w:b/>
        </w:rPr>
        <w:tab/>
      </w:r>
      <w:r w:rsidR="009B17F7">
        <w:t>Microsoft Teams Meeting</w:t>
      </w:r>
    </w:p>
    <w:p w14:paraId="3FF17801" w14:textId="49876B70" w:rsidR="0070572A" w:rsidRPr="00390197" w:rsidRDefault="0070572A" w:rsidP="0070572A">
      <w:r>
        <w:rPr>
          <w:b/>
        </w:rPr>
        <w:t>Presenters:</w:t>
      </w:r>
      <w:r>
        <w:rPr>
          <w:b/>
        </w:rPr>
        <w:tab/>
      </w:r>
      <w:r>
        <w:rPr>
          <w:b/>
        </w:rPr>
        <w:tab/>
      </w:r>
      <w:r>
        <w:t xml:space="preserve">Brian Robertson, </w:t>
      </w:r>
      <w:r w:rsidR="009B17F7">
        <w:t>Ashton Davis &amp; Devin McGreal</w:t>
      </w:r>
    </w:p>
    <w:p w14:paraId="6E61AC0C" w14:textId="5C358697" w:rsidR="005D7F64" w:rsidRDefault="0070572A" w:rsidP="005D7F64">
      <w:pPr>
        <w:ind w:left="2160" w:hanging="2160"/>
      </w:pPr>
      <w:r w:rsidRPr="004115AF">
        <w:rPr>
          <w:b/>
        </w:rPr>
        <w:t>In attendance</w:t>
      </w:r>
      <w:r w:rsidRPr="004115AF">
        <w:t>:</w:t>
      </w:r>
      <w:r w:rsidRPr="004115AF">
        <w:tab/>
      </w:r>
      <w:r>
        <w:t xml:space="preserve">Mark Sellers-Vaughn, Brian Robertson, Devin McGreal, Ashton Davis, </w:t>
      </w:r>
      <w:r w:rsidR="009B17F7">
        <w:t xml:space="preserve">Bruce Folsom, </w:t>
      </w:r>
      <w:r w:rsidR="005D7F64">
        <w:t>Abbie Krebsbach, Renie Sorensen, Carolyn Stone, Eric Wood, Kary Burin, Chris Robbins, Linda Offerdahl, Monica Cowlishaw, Patrick Darras, Brian Cunnington, Mike Parvinen, Becky Hodges, Phillip Hensyel, Mike Paruszkiewicz – NWN, Mark Iverson – Ruby Pipeline, Corey Dahl – Public Counsel, Bradley Cebulko – WUTC, Andrew Rector – WUTC, Kyle Depew – WUTC, Marty Saldivar – NWP, Nicholas Columbo – OPUC,</w:t>
      </w:r>
    </w:p>
    <w:p w14:paraId="3A77445E" w14:textId="1703C554" w:rsidR="0070572A" w:rsidRDefault="0070572A" w:rsidP="0070572A">
      <w:pPr>
        <w:ind w:left="2160" w:hanging="2160"/>
      </w:pPr>
      <w:r w:rsidRPr="004115AF">
        <w:rPr>
          <w:b/>
        </w:rPr>
        <w:t>Minutes</w:t>
      </w:r>
      <w:r>
        <w:rPr>
          <w:b/>
        </w:rPr>
        <w:t>:</w:t>
      </w:r>
      <w:r w:rsidRPr="004115AF">
        <w:tab/>
        <w:t>Carolyn Stone</w:t>
      </w:r>
    </w:p>
    <w:p w14:paraId="451A8B3F" w14:textId="64815111" w:rsidR="0070572A" w:rsidRDefault="0070572A" w:rsidP="0070572A">
      <w:r>
        <w:t xml:space="preserve">Brian began the meeting with a </w:t>
      </w:r>
      <w:r w:rsidR="00CA5B9B">
        <w:t>“</w:t>
      </w:r>
      <w:r>
        <w:t>Safety Moment</w:t>
      </w:r>
      <w:r w:rsidR="00CA5B9B">
        <w:t>” reminding all of us to use safety precautions in mind of the COVID 19 pandemic.</w:t>
      </w:r>
      <w:r>
        <w:t xml:space="preserve"> </w:t>
      </w:r>
      <w:r w:rsidR="00CA5B9B">
        <w:t xml:space="preserve">Mark stated he was looking forward to </w:t>
      </w:r>
      <w:r w:rsidR="008D4F15">
        <w:t>today’s discussion prior to filing the IRP.  Brian then went through introductions and the agenda.</w:t>
      </w:r>
    </w:p>
    <w:p w14:paraId="410DB18C" w14:textId="7027A474" w:rsidR="00404C1A" w:rsidRPr="00826842" w:rsidRDefault="00826842" w:rsidP="0070572A">
      <w:r>
        <w:rPr>
          <w:b/>
          <w:bCs/>
        </w:rPr>
        <w:t xml:space="preserve">Presentation #1 – </w:t>
      </w:r>
      <w:r w:rsidR="00CA5B9B">
        <w:rPr>
          <w:b/>
          <w:bCs/>
        </w:rPr>
        <w:t>DEMAND FORECAST</w:t>
      </w:r>
      <w:r>
        <w:rPr>
          <w:b/>
          <w:bCs/>
        </w:rPr>
        <w:t xml:space="preserve"> </w:t>
      </w:r>
      <w:r w:rsidRPr="00826842">
        <w:t>(</w:t>
      </w:r>
      <w:r w:rsidR="00CA5B9B">
        <w:t>Ashton Davis</w:t>
      </w:r>
      <w:r w:rsidRPr="00826842">
        <w:t>)</w:t>
      </w:r>
    </w:p>
    <w:p w14:paraId="2544FCB7" w14:textId="28EEF82F" w:rsidR="00B74167" w:rsidRDefault="00B74167" w:rsidP="00B74167">
      <w:pPr>
        <w:spacing w:after="0"/>
      </w:pPr>
      <w:r w:rsidRPr="008216F1">
        <w:rPr>
          <w:b/>
          <w:bCs/>
          <w:highlight w:val="yellow"/>
        </w:rPr>
        <w:t>QUESTION</w:t>
      </w:r>
      <w:r>
        <w:t>:</w:t>
      </w:r>
      <w:r>
        <w:tab/>
        <w:t>Andrew asked if this process has changed?</w:t>
      </w:r>
    </w:p>
    <w:p w14:paraId="72B3F737" w14:textId="13411B08" w:rsidR="00B74167" w:rsidRDefault="00B74167" w:rsidP="00B74167">
      <w:pPr>
        <w:spacing w:after="0"/>
      </w:pPr>
      <w:r w:rsidRPr="008216F1">
        <w:rPr>
          <w:b/>
          <w:bCs/>
          <w:highlight w:val="green"/>
        </w:rPr>
        <w:t>ANSWER</w:t>
      </w:r>
      <w:r>
        <w:t>:</w:t>
      </w:r>
      <w:r>
        <w:tab/>
        <w:t xml:space="preserve">Ashton said this </w:t>
      </w:r>
      <w:r w:rsidR="009744F1">
        <w:t xml:space="preserve">process </w:t>
      </w:r>
      <w:r>
        <w:t>is the same.</w:t>
      </w:r>
    </w:p>
    <w:p w14:paraId="16BA2840" w14:textId="7EA6CC0E" w:rsidR="008216F1" w:rsidRDefault="008216F1" w:rsidP="00B74167">
      <w:pPr>
        <w:spacing w:after="0"/>
      </w:pPr>
    </w:p>
    <w:p w14:paraId="67E1DE63" w14:textId="367D0E9B" w:rsidR="005873F6" w:rsidRDefault="005873F6" w:rsidP="005873F6">
      <w:pPr>
        <w:spacing w:after="0"/>
      </w:pPr>
      <w:r w:rsidRPr="005873F6">
        <w:rPr>
          <w:b/>
          <w:bCs/>
          <w:highlight w:val="yellow"/>
        </w:rPr>
        <w:t>QUESTION</w:t>
      </w:r>
      <w:r>
        <w:t>:</w:t>
      </w:r>
      <w:r>
        <w:tab/>
        <w:t>Andrew asked when the forecast was changed from using 65 to 60 HDD?</w:t>
      </w:r>
    </w:p>
    <w:p w14:paraId="76A61251" w14:textId="2A936FDE" w:rsidR="005873F6" w:rsidRDefault="005873F6" w:rsidP="005873F6">
      <w:pPr>
        <w:spacing w:after="0"/>
        <w:ind w:left="1440" w:hanging="1440"/>
      </w:pPr>
      <w:r w:rsidRPr="005873F6">
        <w:rPr>
          <w:b/>
          <w:bCs/>
          <w:highlight w:val="green"/>
        </w:rPr>
        <w:t>ANSWER</w:t>
      </w:r>
      <w:r>
        <w:t>:</w:t>
      </w:r>
      <w:r>
        <w:tab/>
        <w:t>Brian said it was introduced in 2014 by consultants, 5 to 6 years ago.  Mark added that it was used in the 2016 IRP.</w:t>
      </w:r>
    </w:p>
    <w:p w14:paraId="75374EDE" w14:textId="65D995D4" w:rsidR="00982FA3" w:rsidRDefault="00982FA3" w:rsidP="005873F6">
      <w:pPr>
        <w:spacing w:after="0"/>
        <w:ind w:left="1440" w:hanging="1440"/>
      </w:pPr>
    </w:p>
    <w:p w14:paraId="660DEDB9" w14:textId="5DECA1B0" w:rsidR="00AB0B47" w:rsidRDefault="00AB0B47" w:rsidP="00AB0B47">
      <w:r>
        <w:rPr>
          <w:b/>
          <w:bCs/>
        </w:rPr>
        <w:t xml:space="preserve">Presentation #2 – CUSTOMER FORECAST </w:t>
      </w:r>
      <w:r w:rsidRPr="00826842">
        <w:t>(</w:t>
      </w:r>
      <w:r>
        <w:t>Ashton Davis</w:t>
      </w:r>
      <w:r w:rsidRPr="00826842">
        <w:t>)</w:t>
      </w:r>
    </w:p>
    <w:p w14:paraId="781FD758" w14:textId="12D62CB3" w:rsidR="00AB0B47" w:rsidRDefault="00AB0B47" w:rsidP="00AB0B47">
      <w:pPr>
        <w:spacing w:after="0"/>
      </w:pPr>
      <w:r w:rsidRPr="005873F6">
        <w:rPr>
          <w:b/>
          <w:bCs/>
          <w:highlight w:val="yellow"/>
        </w:rPr>
        <w:t>QUESTION</w:t>
      </w:r>
      <w:r>
        <w:t xml:space="preserve">: </w:t>
      </w:r>
      <w:r>
        <w:tab/>
        <w:t>Andrew asked what does it mean, that the model “ignores” those variables?</w:t>
      </w:r>
    </w:p>
    <w:p w14:paraId="3D7D7AA3" w14:textId="403FF23D" w:rsidR="00AB0B47" w:rsidRDefault="00AB0B47" w:rsidP="008461BF">
      <w:pPr>
        <w:spacing w:after="0"/>
        <w:ind w:left="1440" w:hanging="1440"/>
      </w:pPr>
      <w:r w:rsidRPr="008461BF">
        <w:rPr>
          <w:b/>
          <w:bCs/>
          <w:highlight w:val="green"/>
        </w:rPr>
        <w:t>ANSWER</w:t>
      </w:r>
      <w:r>
        <w:rPr>
          <w:b/>
          <w:bCs/>
        </w:rPr>
        <w:t>:</w:t>
      </w:r>
      <w:r>
        <w:rPr>
          <w:b/>
          <w:bCs/>
        </w:rPr>
        <w:tab/>
      </w:r>
      <w:r w:rsidRPr="00AB0B47">
        <w:t xml:space="preserve">Ashton said </w:t>
      </w:r>
      <w:r w:rsidR="008461BF">
        <w:t xml:space="preserve">“co-linearity”.  The population increases at a certain rate.... employment information increases at the same rate.  </w:t>
      </w:r>
      <w:r w:rsidR="009F5E8A">
        <w:t>So,</w:t>
      </w:r>
      <w:r w:rsidR="008461BF">
        <w:t xml:space="preserve"> the model sees these are “parallel lines”.  The model regression shows “funky” results if these are left in.  Without the parallel line information, the model normalizes information.  The model eliminates redundancies.</w:t>
      </w:r>
    </w:p>
    <w:p w14:paraId="596658E1" w14:textId="466C9232" w:rsidR="008461BF" w:rsidRDefault="008461BF" w:rsidP="008461BF">
      <w:pPr>
        <w:spacing w:after="0"/>
        <w:ind w:left="1440" w:hanging="1440"/>
      </w:pPr>
    </w:p>
    <w:p w14:paraId="4E315590" w14:textId="5300E73A" w:rsidR="008461BF" w:rsidRDefault="008461BF" w:rsidP="008461BF">
      <w:pPr>
        <w:spacing w:after="0"/>
        <w:ind w:left="1440" w:hanging="1440"/>
      </w:pPr>
      <w:r>
        <w:tab/>
        <w:t>Andrew further asked if the model sets these redundant variables to zero.</w:t>
      </w:r>
    </w:p>
    <w:p w14:paraId="0943AD03" w14:textId="0450F36E" w:rsidR="008461BF" w:rsidRDefault="008461BF" w:rsidP="008461BF">
      <w:pPr>
        <w:spacing w:after="0"/>
        <w:ind w:left="1440" w:hanging="1440"/>
      </w:pPr>
    </w:p>
    <w:p w14:paraId="3097844D" w14:textId="075C4C5D" w:rsidR="008461BF" w:rsidRDefault="008461BF" w:rsidP="008461BF">
      <w:pPr>
        <w:spacing w:after="0"/>
        <w:ind w:left="1440" w:hanging="1440"/>
      </w:pPr>
      <w:r>
        <w:tab/>
        <w:t xml:space="preserve">Ashton says it doesn’t do the regression on those variables.  Model doesn’t take those variables into </w:t>
      </w:r>
      <w:r w:rsidR="009744F1">
        <w:t>account; it</w:t>
      </w:r>
      <w:r>
        <w:t xml:space="preserve"> does not set them to zero.</w:t>
      </w:r>
    </w:p>
    <w:p w14:paraId="565A1F50" w14:textId="5A701C73" w:rsidR="008461BF" w:rsidRDefault="008461BF" w:rsidP="008461BF">
      <w:pPr>
        <w:spacing w:after="0"/>
        <w:ind w:left="1440" w:hanging="1440"/>
      </w:pPr>
    </w:p>
    <w:p w14:paraId="22C3BE6E" w14:textId="09A2C404" w:rsidR="00891E3E" w:rsidRDefault="00891E3E" w:rsidP="00891E3E">
      <w:pPr>
        <w:spacing w:after="0"/>
      </w:pPr>
    </w:p>
    <w:p w14:paraId="444677CA" w14:textId="1AB03478" w:rsidR="00891E3E" w:rsidRDefault="00891E3E" w:rsidP="00891E3E">
      <w:pPr>
        <w:spacing w:after="0"/>
      </w:pPr>
      <w:r w:rsidRPr="00891E3E">
        <w:rPr>
          <w:b/>
          <w:bCs/>
          <w:highlight w:val="yellow"/>
        </w:rPr>
        <w:lastRenderedPageBreak/>
        <w:t>QUESTION</w:t>
      </w:r>
      <w:r>
        <w:t>:</w:t>
      </w:r>
      <w:r>
        <w:tab/>
        <w:t>Andrew asked what the “trend variable” was?</w:t>
      </w:r>
    </w:p>
    <w:p w14:paraId="74D9A26D" w14:textId="4EB2C543" w:rsidR="00891E3E" w:rsidRDefault="00891E3E" w:rsidP="00891E3E">
      <w:pPr>
        <w:spacing w:after="0"/>
        <w:ind w:left="1440" w:hanging="1440"/>
      </w:pPr>
      <w:r w:rsidRPr="00891E3E">
        <w:rPr>
          <w:b/>
          <w:bCs/>
          <w:highlight w:val="green"/>
        </w:rPr>
        <w:t>ANSWER</w:t>
      </w:r>
      <w:r>
        <w:t>:</w:t>
      </w:r>
      <w:r>
        <w:tab/>
        <w:t>Over the entire historical timeline, it captures the trend</w:t>
      </w:r>
      <w:r w:rsidRPr="00803441">
        <w:t>.  ARIMA with Fourier – term tell model to not differentiate data – takes predicted values &amp; ARIMA value being forced not to trend.</w:t>
      </w:r>
    </w:p>
    <w:p w14:paraId="3B468CC8" w14:textId="1C93AEA6" w:rsidR="005D4485" w:rsidRDefault="005D4485" w:rsidP="00891E3E">
      <w:pPr>
        <w:spacing w:after="0"/>
        <w:ind w:left="1440" w:hanging="1440"/>
      </w:pPr>
    </w:p>
    <w:p w14:paraId="00C476AB" w14:textId="72BFCF1B" w:rsidR="00797546" w:rsidRDefault="00797546" w:rsidP="00AA7FE7">
      <w:pPr>
        <w:spacing w:after="0"/>
      </w:pPr>
      <w:r>
        <w:rPr>
          <w:b/>
          <w:bCs/>
        </w:rPr>
        <w:t xml:space="preserve">Presentation #3 – FORECAST RESULTS </w:t>
      </w:r>
      <w:r w:rsidRPr="00826842">
        <w:t>(</w:t>
      </w:r>
      <w:r>
        <w:t>Ashton Davis</w:t>
      </w:r>
      <w:r w:rsidRPr="00826842">
        <w:t>)</w:t>
      </w:r>
    </w:p>
    <w:p w14:paraId="1323EA7D" w14:textId="663D8A4F" w:rsidR="00DD6FD0" w:rsidRDefault="00DD6FD0" w:rsidP="00DD6FD0">
      <w:pPr>
        <w:spacing w:after="0"/>
      </w:pPr>
    </w:p>
    <w:p w14:paraId="56A53694" w14:textId="7C0931E1" w:rsidR="00DD6FD0" w:rsidRDefault="00DD6FD0" w:rsidP="00DD6FD0">
      <w:pPr>
        <w:spacing w:after="0"/>
      </w:pPr>
      <w:r w:rsidRPr="00DD6FD0">
        <w:rPr>
          <w:b/>
          <w:bCs/>
          <w:highlight w:val="yellow"/>
        </w:rPr>
        <w:t>QUESTION</w:t>
      </w:r>
      <w:r>
        <w:t>:</w:t>
      </w:r>
      <w:r>
        <w:tab/>
        <w:t>Andrew asked if the “Y Axis” represent Therms?</w:t>
      </w:r>
    </w:p>
    <w:p w14:paraId="21893CCD" w14:textId="05F6134D" w:rsidR="00DD6FD0" w:rsidRDefault="00DD6FD0" w:rsidP="00DD6FD0">
      <w:pPr>
        <w:spacing w:after="0"/>
      </w:pPr>
      <w:r w:rsidRPr="00DD6FD0">
        <w:rPr>
          <w:b/>
          <w:bCs/>
          <w:highlight w:val="green"/>
        </w:rPr>
        <w:t>ANSWER</w:t>
      </w:r>
      <w:r>
        <w:t>:</w:t>
      </w:r>
      <w:r>
        <w:tab/>
        <w:t>Therms is on the Y Axis - use per day.</w:t>
      </w:r>
    </w:p>
    <w:p w14:paraId="4C4F2C9D" w14:textId="146F735B" w:rsidR="00DD6FD0" w:rsidRDefault="00DD6FD0" w:rsidP="00DD6FD0">
      <w:pPr>
        <w:spacing w:after="0"/>
      </w:pPr>
    </w:p>
    <w:p w14:paraId="129F1457" w14:textId="330B5FCD" w:rsidR="0086741F" w:rsidRDefault="0086741F" w:rsidP="0086741F">
      <w:pPr>
        <w:spacing w:after="0"/>
      </w:pPr>
      <w:r w:rsidRPr="00DD6FD0">
        <w:rPr>
          <w:b/>
          <w:bCs/>
          <w:highlight w:val="yellow"/>
        </w:rPr>
        <w:t>QUESTION</w:t>
      </w:r>
      <w:r>
        <w:t>:</w:t>
      </w:r>
      <w:r>
        <w:tab/>
        <w:t>Bradley asked what the source of the data is?</w:t>
      </w:r>
    </w:p>
    <w:p w14:paraId="7BDC0E1E" w14:textId="0C7D7ED2" w:rsidR="0086741F" w:rsidRDefault="0086741F" w:rsidP="0086741F">
      <w:pPr>
        <w:spacing w:after="0"/>
      </w:pPr>
      <w:r w:rsidRPr="00DD6FD0">
        <w:rPr>
          <w:b/>
          <w:bCs/>
          <w:highlight w:val="green"/>
        </w:rPr>
        <w:t>ANSWER</w:t>
      </w:r>
      <w:r>
        <w:t>:</w:t>
      </w:r>
      <w:r>
        <w:tab/>
        <w:t>Ashton said they use the internal forecast for customer by Citygate.</w:t>
      </w:r>
    </w:p>
    <w:p w14:paraId="4576FAC2" w14:textId="007EAE5C" w:rsidR="0086741F" w:rsidRDefault="0086741F" w:rsidP="0086741F">
      <w:pPr>
        <w:spacing w:after="0"/>
      </w:pPr>
    </w:p>
    <w:p w14:paraId="12753E8B" w14:textId="3BDC2967" w:rsidR="008B54F9" w:rsidRDefault="008B54F9" w:rsidP="008B54F9">
      <w:pPr>
        <w:spacing w:after="0"/>
        <w:ind w:left="1440" w:hanging="1440"/>
      </w:pPr>
      <w:r w:rsidRPr="008B54F9">
        <w:rPr>
          <w:b/>
          <w:bCs/>
          <w:highlight w:val="yellow"/>
        </w:rPr>
        <w:t>QUESTION</w:t>
      </w:r>
      <w:r>
        <w:t>:</w:t>
      </w:r>
      <w:r>
        <w:tab/>
        <w:t xml:space="preserve">Andrew asked if Resource Planning has gone back to 2016 IRP </w:t>
      </w:r>
      <w:r w:rsidR="009744F1">
        <w:t>to</w:t>
      </w:r>
      <w:r>
        <w:t xml:space="preserve"> compare forecast to actual?</w:t>
      </w:r>
    </w:p>
    <w:p w14:paraId="11742A0D" w14:textId="026CDA6C" w:rsidR="008B54F9" w:rsidRDefault="008B54F9" w:rsidP="008B54F9">
      <w:pPr>
        <w:spacing w:after="0"/>
        <w:ind w:left="1440" w:hanging="1440"/>
      </w:pPr>
      <w:r w:rsidRPr="008B54F9">
        <w:rPr>
          <w:b/>
          <w:bCs/>
          <w:highlight w:val="green"/>
        </w:rPr>
        <w:t>ANSWER</w:t>
      </w:r>
      <w:r w:rsidRPr="008B54F9">
        <w:t>:</w:t>
      </w:r>
      <w:r>
        <w:tab/>
        <w:t>Ashton said they have not actually graphed it out as a comparison but have “checks and balances” with Gas Supply and multiple departments.  If there was an issue, those departments would come back to us, if it didn’t add up.</w:t>
      </w:r>
    </w:p>
    <w:p w14:paraId="7F545ED2" w14:textId="5092C635" w:rsidR="008B54F9" w:rsidRDefault="008B54F9" w:rsidP="008B54F9">
      <w:pPr>
        <w:spacing w:after="0"/>
        <w:ind w:left="1440" w:hanging="1440"/>
      </w:pPr>
      <w:r>
        <w:rPr>
          <w:b/>
          <w:bCs/>
        </w:rPr>
        <w:tab/>
      </w:r>
      <w:r>
        <w:t>Ashton said they will do a back</w:t>
      </w:r>
      <w:r w:rsidR="009744F1">
        <w:t xml:space="preserve"> </w:t>
      </w:r>
      <w:r>
        <w:t>cast.</w:t>
      </w:r>
      <w:r w:rsidR="00D533E3">
        <w:t xml:space="preserve">  Brian Said that they check the variance between past forecasts and this forecast, there were some demand changes.  These changes are related to Non-core switching to Core.  In 2018, for example, large Non-core customers switched to Core, totaling 10m </w:t>
      </w:r>
      <w:r w:rsidR="00D01DFE">
        <w:t>Therms</w:t>
      </w:r>
      <w:r w:rsidR="00D533E3">
        <w:t xml:space="preserve"> jumping to</w:t>
      </w:r>
      <w:r w:rsidR="009744F1">
        <w:t xml:space="preserve"> the</w:t>
      </w:r>
      <w:r w:rsidR="00D533E3">
        <w:t xml:space="preserve"> Core</w:t>
      </w:r>
      <w:r w:rsidR="00D01DFE">
        <w:t xml:space="preserve"> side.  This is the reason </w:t>
      </w:r>
      <w:r w:rsidR="00D533E3">
        <w:t xml:space="preserve">the forecast moves around from past IRP’s.    Ashton said this is a good point.  </w:t>
      </w:r>
      <w:r w:rsidR="00D01DFE">
        <w:t>Our forecast is for the Core.</w:t>
      </w:r>
    </w:p>
    <w:p w14:paraId="6BB0E80D" w14:textId="7CC31C33" w:rsidR="00D01DFE" w:rsidRDefault="00D01DFE" w:rsidP="008B54F9">
      <w:pPr>
        <w:spacing w:after="0"/>
        <w:ind w:left="1440" w:hanging="1440"/>
      </w:pPr>
    </w:p>
    <w:p w14:paraId="641DDCDE" w14:textId="373F334A" w:rsidR="00D01DFE" w:rsidRDefault="00D01DFE" w:rsidP="008B54F9">
      <w:pPr>
        <w:spacing w:after="0"/>
        <w:ind w:left="1440" w:hanging="1440"/>
      </w:pPr>
      <w:r w:rsidRPr="00D01DFE">
        <w:rPr>
          <w:b/>
          <w:bCs/>
          <w:highlight w:val="yellow"/>
        </w:rPr>
        <w:t>QUESTION</w:t>
      </w:r>
      <w:r>
        <w:t>:</w:t>
      </w:r>
      <w:r>
        <w:tab/>
        <w:t xml:space="preserve">Brad asked how Resource Planning includes economic downturns?  Like now, for instance with the COVID 19 pandemic – do you </w:t>
      </w:r>
      <w:r w:rsidR="009802AD">
        <w:t>adjust</w:t>
      </w:r>
      <w:r>
        <w:t xml:space="preserve"> for today?</w:t>
      </w:r>
    </w:p>
    <w:p w14:paraId="60FEBC04" w14:textId="66CA5589" w:rsidR="00D01DFE" w:rsidRDefault="00D01DFE" w:rsidP="008B54F9">
      <w:pPr>
        <w:spacing w:after="0"/>
        <w:ind w:left="1440" w:hanging="1440"/>
      </w:pPr>
      <w:r w:rsidRPr="00D01DFE">
        <w:rPr>
          <w:b/>
          <w:bCs/>
          <w:highlight w:val="green"/>
        </w:rPr>
        <w:t>ANSWER</w:t>
      </w:r>
      <w:r>
        <w:t>:</w:t>
      </w:r>
      <w:r>
        <w:tab/>
      </w:r>
      <w:r w:rsidR="009802AD">
        <w:t>The long-term forecast – 20</w:t>
      </w:r>
      <w:r w:rsidR="009744F1">
        <w:t>-</w:t>
      </w:r>
      <w:r w:rsidR="009802AD">
        <w:t>year looks at typical day.  There is no pandemic indicating variables</w:t>
      </w:r>
      <w:r w:rsidR="00D4162D">
        <w:t xml:space="preserve"> at this moment</w:t>
      </w:r>
      <w:r w:rsidR="009802AD">
        <w:t xml:space="preserve">.  Devin added that their scenarios/sensitivity analysis are used in getting robust “what-if’s” in.  We can’t predict the future.  We run low growth scenario and then put it in the narrative in the IRP.  There </w:t>
      </w:r>
      <w:r w:rsidR="009F5E8A">
        <w:t>were</w:t>
      </w:r>
      <w:r w:rsidR="009802AD">
        <w:t xml:space="preserve"> no</w:t>
      </w:r>
      <w:r w:rsidR="00EB0610">
        <w:t xml:space="preserve"> decisions made</w:t>
      </w:r>
      <w:r w:rsidR="009802AD">
        <w:t xml:space="preserve"> on the low growth scenario</w:t>
      </w:r>
      <w:r w:rsidR="00D4162D">
        <w:t>.</w:t>
      </w:r>
    </w:p>
    <w:p w14:paraId="393DF4C4" w14:textId="04396183" w:rsidR="00EB0610" w:rsidRDefault="00EB0610" w:rsidP="008B54F9">
      <w:pPr>
        <w:spacing w:after="0"/>
        <w:ind w:left="1440" w:hanging="1440"/>
      </w:pPr>
    </w:p>
    <w:p w14:paraId="285E9657" w14:textId="729F5C00" w:rsidR="00EB0610" w:rsidRPr="00EB0610" w:rsidRDefault="00EB0610" w:rsidP="008B54F9">
      <w:pPr>
        <w:spacing w:after="0"/>
        <w:ind w:left="1440" w:hanging="1440"/>
        <w:rPr>
          <w:b/>
          <w:bCs/>
        </w:rPr>
      </w:pPr>
      <w:r>
        <w:rPr>
          <w:b/>
          <w:bCs/>
        </w:rPr>
        <w:t>FURTHER DISCUSSION:</w:t>
      </w:r>
    </w:p>
    <w:p w14:paraId="0533AFB3" w14:textId="226A2382" w:rsidR="00EB0610" w:rsidRDefault="00EB0610" w:rsidP="00BF1600">
      <w:pPr>
        <w:pStyle w:val="ListParagraph"/>
        <w:numPr>
          <w:ilvl w:val="0"/>
          <w:numId w:val="13"/>
        </w:numPr>
        <w:spacing w:after="0"/>
      </w:pPr>
      <w:r>
        <w:t>Corey asked if 1 variable is useful in relation to the Pandemic...economic outlook...? He said, we have no crystal ball, but we can say the economic outlook has changed since Jan 2020.</w:t>
      </w:r>
      <w:r w:rsidR="009744F1">
        <w:t xml:space="preserve"> I would be interested in looking at t</w:t>
      </w:r>
      <w:r>
        <w:t>h</w:t>
      </w:r>
      <w:r w:rsidR="009744F1">
        <w:t>e</w:t>
      </w:r>
      <w:r>
        <w:t xml:space="preserve"> variable in demand = economic outlook.</w:t>
      </w:r>
    </w:p>
    <w:p w14:paraId="76F3D2B9" w14:textId="19773136" w:rsidR="00EB0610" w:rsidRDefault="00EB0610" w:rsidP="00BF1600">
      <w:pPr>
        <w:pStyle w:val="ListParagraph"/>
        <w:numPr>
          <w:ilvl w:val="0"/>
          <w:numId w:val="13"/>
        </w:numPr>
        <w:spacing w:after="0"/>
      </w:pPr>
      <w:r>
        <w:t xml:space="preserve">Mark said no one </w:t>
      </w:r>
      <w:r w:rsidR="006455FF">
        <w:t>forecasted the</w:t>
      </w:r>
      <w:r>
        <w:t xml:space="preserve"> pandemic</w:t>
      </w:r>
      <w:r w:rsidR="006455FF">
        <w:t xml:space="preserve">. </w:t>
      </w:r>
      <w:r>
        <w:t xml:space="preserve"> it would take 2 years to determine the impact now.  What elements of economic forecast you would expect us to change?</w:t>
      </w:r>
    </w:p>
    <w:p w14:paraId="0CA7B5D8" w14:textId="3B2A96D8" w:rsidR="006455FF" w:rsidRDefault="006455FF" w:rsidP="00BF1600">
      <w:pPr>
        <w:pStyle w:val="ListParagraph"/>
        <w:numPr>
          <w:ilvl w:val="0"/>
          <w:numId w:val="13"/>
        </w:numPr>
        <w:spacing w:after="0"/>
      </w:pPr>
      <w:r>
        <w:t>Corey asked how often are the sources updated?  The economic outlook data – how fresh is it</w:t>
      </w:r>
      <w:r w:rsidR="009744F1">
        <w:t xml:space="preserve"> -</w:t>
      </w:r>
      <w:r>
        <w:t xml:space="preserve"> how often refreshed?</w:t>
      </w:r>
    </w:p>
    <w:p w14:paraId="60758FA0" w14:textId="40A4BBD8" w:rsidR="006455FF" w:rsidRDefault="006455FF" w:rsidP="00BF1600">
      <w:pPr>
        <w:pStyle w:val="ListParagraph"/>
        <w:numPr>
          <w:ilvl w:val="0"/>
          <w:numId w:val="13"/>
        </w:numPr>
        <w:spacing w:after="0"/>
      </w:pPr>
      <w:r>
        <w:t>Ashton said every forecast is a “point in time”.  Once we get more data and vet it, then we can use it.  Preliminary data has conflicting information...if significant data we will rerun the forecast.  The next IRP will show that.  We must lock numbers for the current forecast.</w:t>
      </w:r>
    </w:p>
    <w:p w14:paraId="0AC72DE8" w14:textId="5A95AD19" w:rsidR="000A289D" w:rsidRDefault="000A289D" w:rsidP="00BF1600">
      <w:pPr>
        <w:pStyle w:val="ListParagraph"/>
        <w:numPr>
          <w:ilvl w:val="0"/>
          <w:numId w:val="13"/>
        </w:numPr>
        <w:spacing w:after="0"/>
      </w:pPr>
      <w:r>
        <w:t xml:space="preserve">Mark said they can contact Wood &amp; Poole for updates of economic data they provide to us and include that in our IRP narrative or </w:t>
      </w:r>
      <w:r w:rsidR="009F5E8A">
        <w:t>adjust</w:t>
      </w:r>
      <w:r>
        <w:t xml:space="preserve"> before the draft IRP comes out and identify differences.</w:t>
      </w:r>
    </w:p>
    <w:p w14:paraId="73FF0CA1" w14:textId="7FD84E76" w:rsidR="000A289D" w:rsidRDefault="000A289D" w:rsidP="00BF1600">
      <w:pPr>
        <w:pStyle w:val="ListParagraph"/>
        <w:numPr>
          <w:ilvl w:val="0"/>
          <w:numId w:val="13"/>
        </w:numPr>
        <w:spacing w:after="0"/>
      </w:pPr>
      <w:r>
        <w:t>Andrew asked what does the underlying data say that economic data will look like in the next few years?  When is your</w:t>
      </w:r>
      <w:r w:rsidR="009744F1">
        <w:t xml:space="preserve"> forecast</w:t>
      </w:r>
      <w:r>
        <w:t xml:space="preserve"> “lock down”?</w:t>
      </w:r>
    </w:p>
    <w:p w14:paraId="7CFC5383" w14:textId="6A7FA3D0" w:rsidR="000A289D" w:rsidRDefault="000A289D" w:rsidP="00BF1600">
      <w:pPr>
        <w:pStyle w:val="ListParagraph"/>
        <w:numPr>
          <w:ilvl w:val="0"/>
          <w:numId w:val="13"/>
        </w:numPr>
        <w:spacing w:after="0"/>
      </w:pPr>
      <w:r>
        <w:lastRenderedPageBreak/>
        <w:t xml:space="preserve">Brian said </w:t>
      </w:r>
      <w:r w:rsidR="009744F1">
        <w:t xml:space="preserve">lock down to happen </w:t>
      </w:r>
      <w:r>
        <w:t xml:space="preserve">very quickly after Tag #2.  We </w:t>
      </w:r>
      <w:r w:rsidR="009F5E8A">
        <w:t>must</w:t>
      </w:r>
      <w:r>
        <w:t xml:space="preserve"> send off numbers to the Energy Efficiency team for Tag #4.</w:t>
      </w:r>
    </w:p>
    <w:p w14:paraId="2662435C" w14:textId="33ED8876" w:rsidR="00272122" w:rsidRDefault="00272122" w:rsidP="00272122">
      <w:pPr>
        <w:spacing w:after="0"/>
      </w:pPr>
    </w:p>
    <w:p w14:paraId="037698C5" w14:textId="5D08708C" w:rsidR="006D7D9B" w:rsidRDefault="006D7D9B" w:rsidP="006D7D9B">
      <w:pPr>
        <w:spacing w:after="0"/>
      </w:pPr>
      <w:r w:rsidRPr="006D7D9B">
        <w:rPr>
          <w:b/>
          <w:bCs/>
          <w:highlight w:val="yellow"/>
        </w:rPr>
        <w:t>QUESTION</w:t>
      </w:r>
      <w:r>
        <w:t>:</w:t>
      </w:r>
      <w:r>
        <w:tab/>
        <w:t xml:space="preserve">5 electric generators, were these </w:t>
      </w:r>
      <w:r w:rsidR="001A2C27">
        <w:t>“</w:t>
      </w:r>
      <w:r>
        <w:t>peakers</w:t>
      </w:r>
      <w:r w:rsidR="001A2C27">
        <w:t>”</w:t>
      </w:r>
      <w:r>
        <w:t xml:space="preserve"> or combination</w:t>
      </w:r>
      <w:r w:rsidR="00C46AFE">
        <w:t xml:space="preserve"> cycle</w:t>
      </w:r>
      <w:r>
        <w:t>?</w:t>
      </w:r>
    </w:p>
    <w:p w14:paraId="652D3BC3" w14:textId="312378E0" w:rsidR="006D7D9B" w:rsidRDefault="006D7D9B" w:rsidP="006D7D9B">
      <w:pPr>
        <w:spacing w:after="0"/>
      </w:pPr>
      <w:r w:rsidRPr="006D7D9B">
        <w:rPr>
          <w:b/>
          <w:bCs/>
          <w:highlight w:val="green"/>
        </w:rPr>
        <w:t>ANSWER</w:t>
      </w:r>
      <w:r>
        <w:t>:</w:t>
      </w:r>
      <w:r>
        <w:tab/>
        <w:t>Brian referred to Chris Robbins, who said it was a combination of both.</w:t>
      </w:r>
    </w:p>
    <w:p w14:paraId="38E0FEF2" w14:textId="2AA15987" w:rsidR="00C46AFE" w:rsidRDefault="00C46AFE" w:rsidP="006D7D9B">
      <w:pPr>
        <w:spacing w:after="0"/>
      </w:pPr>
    </w:p>
    <w:p w14:paraId="0AF4567B" w14:textId="47BB426D" w:rsidR="00C46AFE" w:rsidRDefault="00C46AFE" w:rsidP="006D7D9B">
      <w:pPr>
        <w:spacing w:after="0"/>
      </w:pPr>
      <w:r w:rsidRPr="00C46AFE">
        <w:rPr>
          <w:b/>
          <w:bCs/>
          <w:highlight w:val="yellow"/>
        </w:rPr>
        <w:t>QUESTION</w:t>
      </w:r>
      <w:r>
        <w:t>:</w:t>
      </w:r>
      <w:r>
        <w:tab/>
        <w:t>Nick asked about the OPUC, electric generation slide...is this OR or WA?</w:t>
      </w:r>
    </w:p>
    <w:p w14:paraId="005BAD44" w14:textId="176AF40E" w:rsidR="00C46AFE" w:rsidRDefault="00C46AFE" w:rsidP="00C46AFE">
      <w:pPr>
        <w:spacing w:after="0"/>
        <w:ind w:left="1440" w:hanging="1440"/>
      </w:pPr>
      <w:r w:rsidRPr="00C46AFE">
        <w:rPr>
          <w:b/>
          <w:bCs/>
          <w:highlight w:val="green"/>
        </w:rPr>
        <w:t>ANSWER</w:t>
      </w:r>
      <w:r>
        <w:t>:</w:t>
      </w:r>
      <w:r>
        <w:tab/>
        <w:t xml:space="preserve">Brian said it is total Non-Core, Washington &amp; Oregon transportation </w:t>
      </w:r>
      <w:r w:rsidR="005D054D">
        <w:t>&amp;</w:t>
      </w:r>
      <w:r>
        <w:t xml:space="preserve"> electric generation.</w:t>
      </w:r>
    </w:p>
    <w:p w14:paraId="251A7329" w14:textId="02C0C284" w:rsidR="00AE364C" w:rsidRDefault="00AE364C" w:rsidP="00C46AFE">
      <w:pPr>
        <w:spacing w:after="0"/>
        <w:ind w:left="1440" w:hanging="1440"/>
      </w:pPr>
    </w:p>
    <w:p w14:paraId="52190603" w14:textId="406E9475" w:rsidR="00AE364C" w:rsidRDefault="00AE364C" w:rsidP="00AE364C">
      <w:pPr>
        <w:spacing w:after="0"/>
      </w:pPr>
      <w:r>
        <w:rPr>
          <w:b/>
          <w:bCs/>
        </w:rPr>
        <w:t xml:space="preserve">Presentation #4 – MARKET OUTLOOK &amp; </w:t>
      </w:r>
      <w:r w:rsidR="00192450">
        <w:rPr>
          <w:b/>
          <w:bCs/>
        </w:rPr>
        <w:t>LONG-RANGE</w:t>
      </w:r>
      <w:r>
        <w:rPr>
          <w:b/>
          <w:bCs/>
        </w:rPr>
        <w:t xml:space="preserve"> PRICE FORECAST </w:t>
      </w:r>
      <w:r w:rsidRPr="00826842">
        <w:t>(</w:t>
      </w:r>
      <w:r>
        <w:t>Ashton Davis</w:t>
      </w:r>
      <w:r w:rsidRPr="00826842">
        <w:t>)</w:t>
      </w:r>
    </w:p>
    <w:p w14:paraId="624E938C" w14:textId="7B7F4609" w:rsidR="00AE364C" w:rsidRDefault="00AE364C" w:rsidP="00AE364C">
      <w:pPr>
        <w:spacing w:after="0"/>
      </w:pPr>
    </w:p>
    <w:p w14:paraId="5B3A6E4D" w14:textId="52867DB3" w:rsidR="002171D0" w:rsidRDefault="002171D0" w:rsidP="002171D0">
      <w:pPr>
        <w:spacing w:after="0"/>
        <w:ind w:left="360"/>
      </w:pPr>
      <w:r w:rsidRPr="00DC2EC7">
        <w:rPr>
          <w:b/>
          <w:bCs/>
          <w:highlight w:val="yellow"/>
        </w:rPr>
        <w:t>QUESTION</w:t>
      </w:r>
      <w:r>
        <w:t>:</w:t>
      </w:r>
      <w:r>
        <w:tab/>
        <w:t>Andrew asked if the NWPCCs Forecast was part of the forecast in 2018?</w:t>
      </w:r>
    </w:p>
    <w:p w14:paraId="516EEF29" w14:textId="7225A7D1" w:rsidR="002171D0" w:rsidRDefault="002171D0" w:rsidP="00DC2EC7">
      <w:pPr>
        <w:spacing w:after="0"/>
        <w:ind w:left="1440" w:hanging="1080"/>
      </w:pPr>
      <w:r w:rsidRPr="00DC2EC7">
        <w:rPr>
          <w:b/>
          <w:bCs/>
          <w:highlight w:val="green"/>
        </w:rPr>
        <w:t>ANSWER</w:t>
      </w:r>
      <w:r>
        <w:t>:</w:t>
      </w:r>
      <w:r>
        <w:tab/>
        <w:t>Devin said “Yes”, the weight ascribed to it at the time was not outdated at that time</w:t>
      </w:r>
      <w:r w:rsidR="00DC2EC7">
        <w:t>.</w:t>
      </w:r>
    </w:p>
    <w:p w14:paraId="29A3F3EA" w14:textId="11D11C92" w:rsidR="00DC2EC7" w:rsidRDefault="00DC2EC7" w:rsidP="00DC2EC7">
      <w:pPr>
        <w:spacing w:after="0"/>
        <w:ind w:left="1440" w:hanging="1080"/>
      </w:pPr>
    </w:p>
    <w:p w14:paraId="66609567" w14:textId="2A54D29A" w:rsidR="00300F45" w:rsidRDefault="00300F45" w:rsidP="00300F45">
      <w:pPr>
        <w:spacing w:after="0"/>
        <w:ind w:left="1440" w:hanging="1440"/>
      </w:pPr>
      <w:r w:rsidRPr="00300F45">
        <w:rPr>
          <w:b/>
          <w:bCs/>
          <w:highlight w:val="yellow"/>
        </w:rPr>
        <w:t>QUESTION</w:t>
      </w:r>
      <w:r>
        <w:t>:</w:t>
      </w:r>
      <w:r>
        <w:tab/>
        <w:t>Andrew asked about Slide #44.  He asked if supply during COVID showing up in Nymex?  Is the Nymex data updated consistently?</w:t>
      </w:r>
    </w:p>
    <w:p w14:paraId="51E82D7B" w14:textId="74A691E9" w:rsidR="00300F45" w:rsidRDefault="00300F45" w:rsidP="00300F45">
      <w:pPr>
        <w:spacing w:after="0"/>
        <w:ind w:left="1440" w:hanging="1440"/>
      </w:pPr>
      <w:r w:rsidRPr="00300F45">
        <w:rPr>
          <w:b/>
          <w:bCs/>
          <w:highlight w:val="green"/>
        </w:rPr>
        <w:t>ANSWER</w:t>
      </w:r>
      <w:r>
        <w:t>:</w:t>
      </w:r>
      <w:r>
        <w:tab/>
        <w:t>Devin said the N</w:t>
      </w:r>
      <w:r w:rsidR="000C7F50">
        <w:t>Y</w:t>
      </w:r>
      <w:r>
        <w:t>MEX data is updated daily, in market forward strips.  The market is making the decisions considering constraints, etc.</w:t>
      </w:r>
    </w:p>
    <w:p w14:paraId="4C5A18E8" w14:textId="1C96F6F7" w:rsidR="00A03830" w:rsidRDefault="00A03830" w:rsidP="00300F45">
      <w:pPr>
        <w:spacing w:after="0"/>
        <w:ind w:left="1440" w:hanging="1440"/>
      </w:pPr>
    </w:p>
    <w:p w14:paraId="3B22895F" w14:textId="34F364C4" w:rsidR="00A03830" w:rsidRPr="00E049D3" w:rsidRDefault="00A03830" w:rsidP="00A03830">
      <w:pPr>
        <w:spacing w:after="0"/>
        <w:rPr>
          <w:b/>
          <w:bCs/>
        </w:rPr>
      </w:pPr>
      <w:r w:rsidRPr="00E049D3">
        <w:rPr>
          <w:b/>
          <w:bCs/>
        </w:rPr>
        <w:t xml:space="preserve">Brian Robertson asked if there were any questions </w:t>
      </w:r>
      <w:r w:rsidR="00E049D3">
        <w:rPr>
          <w:b/>
          <w:bCs/>
        </w:rPr>
        <w:t xml:space="preserve">or comments </w:t>
      </w:r>
      <w:r w:rsidRPr="00E049D3">
        <w:rPr>
          <w:b/>
          <w:bCs/>
        </w:rPr>
        <w:t>about anything in the presentation</w:t>
      </w:r>
      <w:r w:rsidR="00E049D3">
        <w:rPr>
          <w:b/>
          <w:bCs/>
        </w:rPr>
        <w:t>:</w:t>
      </w:r>
    </w:p>
    <w:p w14:paraId="66D7B0E1" w14:textId="7BA98E89" w:rsidR="00A03830" w:rsidRDefault="00A03830" w:rsidP="00A03830">
      <w:pPr>
        <w:spacing w:after="0"/>
      </w:pPr>
    </w:p>
    <w:p w14:paraId="32CE2611" w14:textId="225CAB03" w:rsidR="00A03830" w:rsidRDefault="00A03830" w:rsidP="00E049D3">
      <w:pPr>
        <w:spacing w:after="0"/>
        <w:ind w:left="1440" w:hanging="1440"/>
      </w:pPr>
      <w:r w:rsidRPr="00E049D3">
        <w:rPr>
          <w:b/>
          <w:bCs/>
          <w:highlight w:val="yellow"/>
        </w:rPr>
        <w:t>QUESTION:</w:t>
      </w:r>
      <w:r>
        <w:tab/>
        <w:t>Corey said it would be helpful for next meeting, to make available</w:t>
      </w:r>
      <w:r w:rsidR="00E049D3">
        <w:t xml:space="preserve"> the data on the delta between the forecast &amp; actual.</w:t>
      </w:r>
    </w:p>
    <w:p w14:paraId="5819633C" w14:textId="4466262C" w:rsidR="00E049D3" w:rsidRDefault="00E049D3" w:rsidP="00E049D3">
      <w:pPr>
        <w:spacing w:after="0"/>
        <w:ind w:left="1440" w:hanging="1440"/>
      </w:pPr>
      <w:r w:rsidRPr="00D84E16">
        <w:rPr>
          <w:b/>
          <w:bCs/>
          <w:highlight w:val="green"/>
        </w:rPr>
        <w:t>ANSWER</w:t>
      </w:r>
      <w:r>
        <w:rPr>
          <w:b/>
          <w:bCs/>
        </w:rPr>
        <w:t>:</w:t>
      </w:r>
      <w:r>
        <w:tab/>
        <w:t>Brian asked if the “back cast” they talked about earlier would work?</w:t>
      </w:r>
    </w:p>
    <w:p w14:paraId="040D67E4" w14:textId="7530A02B" w:rsidR="00E049D3" w:rsidRDefault="00E049D3" w:rsidP="00E049D3">
      <w:pPr>
        <w:spacing w:after="0"/>
        <w:ind w:left="1440" w:hanging="1440"/>
      </w:pPr>
      <w:r>
        <w:rPr>
          <w:b/>
          <w:bCs/>
        </w:rPr>
        <w:tab/>
      </w:r>
      <w:r>
        <w:t>Corey said “Yes”.</w:t>
      </w:r>
    </w:p>
    <w:p w14:paraId="657D94BE" w14:textId="14A8B4B1" w:rsidR="00E049D3" w:rsidRDefault="00E049D3" w:rsidP="00E049D3">
      <w:pPr>
        <w:spacing w:after="0"/>
        <w:ind w:left="1440" w:hanging="1440"/>
      </w:pPr>
      <w:r>
        <w:tab/>
        <w:t>Brian asked if they wanted the price or demand forecast?</w:t>
      </w:r>
    </w:p>
    <w:p w14:paraId="2728B994" w14:textId="1DD33928" w:rsidR="00E049D3" w:rsidRDefault="00E049D3" w:rsidP="00E049D3">
      <w:pPr>
        <w:spacing w:after="0"/>
        <w:ind w:left="1440" w:hanging="1440"/>
      </w:pPr>
      <w:r>
        <w:tab/>
        <w:t>Corey asked for the “demand forecast”.</w:t>
      </w:r>
    </w:p>
    <w:p w14:paraId="56AD7702" w14:textId="77777777" w:rsidR="000C7F50" w:rsidRDefault="000C7F50" w:rsidP="00E049D3">
      <w:pPr>
        <w:spacing w:after="0"/>
      </w:pPr>
    </w:p>
    <w:p w14:paraId="25A6F899" w14:textId="353894B3" w:rsidR="00E049D3" w:rsidRDefault="00E049D3" w:rsidP="00E049D3">
      <w:pPr>
        <w:spacing w:after="0"/>
      </w:pPr>
      <w:r>
        <w:t>Brian then reminded all attendees of IRP website</w:t>
      </w:r>
      <w:r w:rsidR="00D84E16">
        <w:t>, located at</w:t>
      </w:r>
      <w:r>
        <w:t xml:space="preserve"> </w:t>
      </w:r>
      <w:hyperlink r:id="rId8" w:history="1">
        <w:r w:rsidRPr="00AF2D7C">
          <w:rPr>
            <w:rStyle w:val="Hyperlink"/>
          </w:rPr>
          <w:t>IRP@cngc.com</w:t>
        </w:r>
      </w:hyperlink>
      <w:r>
        <w:t xml:space="preserve"> and went over the schedule:</w:t>
      </w:r>
    </w:p>
    <w:p w14:paraId="3E6B642E" w14:textId="38EEFE65" w:rsidR="00E049D3" w:rsidRDefault="00E049D3" w:rsidP="00E049D3">
      <w:pPr>
        <w:spacing w:after="0"/>
      </w:pPr>
    </w:p>
    <w:p w14:paraId="43A23FAF" w14:textId="791BA5F2" w:rsidR="00E049D3" w:rsidRDefault="00E049D3" w:rsidP="00E049D3">
      <w:pPr>
        <w:pStyle w:val="ListParagraph"/>
        <w:numPr>
          <w:ilvl w:val="0"/>
          <w:numId w:val="27"/>
        </w:numPr>
        <w:spacing w:after="0"/>
      </w:pPr>
      <w:r>
        <w:t>TAG #3 is in one month – June 24 – will include distribution planning</w:t>
      </w:r>
    </w:p>
    <w:p w14:paraId="34BA38A4" w14:textId="7D7139E0" w:rsidR="00D84E16" w:rsidRDefault="00D84E16" w:rsidP="00E049D3">
      <w:pPr>
        <w:pStyle w:val="ListParagraph"/>
        <w:numPr>
          <w:ilvl w:val="0"/>
          <w:numId w:val="27"/>
        </w:numPr>
        <w:spacing w:after="0"/>
      </w:pPr>
      <w:r>
        <w:t>August 6, TAG #4 planned to be in Bellingham, but Resource Planning will let everyone know if that will be the location.</w:t>
      </w:r>
    </w:p>
    <w:p w14:paraId="7BC63677" w14:textId="4FF4AD43" w:rsidR="00D84E16" w:rsidRDefault="00D84E16" w:rsidP="00E049D3">
      <w:pPr>
        <w:pStyle w:val="ListParagraph"/>
        <w:numPr>
          <w:ilvl w:val="0"/>
          <w:numId w:val="27"/>
        </w:numPr>
        <w:spacing w:after="0"/>
      </w:pPr>
      <w:r>
        <w:t>TAG #5, Wednesday 9/23</w:t>
      </w:r>
    </w:p>
    <w:p w14:paraId="78A7CF15" w14:textId="579DCF83" w:rsidR="00D84E16" w:rsidRDefault="00D84E16" w:rsidP="00E049D3">
      <w:pPr>
        <w:pStyle w:val="ListParagraph"/>
        <w:numPr>
          <w:ilvl w:val="0"/>
          <w:numId w:val="27"/>
        </w:numPr>
        <w:spacing w:after="0"/>
      </w:pPr>
      <w:r>
        <w:t>Nov 17, 2020 – Draft of IRP</w:t>
      </w:r>
    </w:p>
    <w:p w14:paraId="60ADA948" w14:textId="10284958" w:rsidR="00D84E16" w:rsidRDefault="00D84E16" w:rsidP="00E049D3">
      <w:pPr>
        <w:pStyle w:val="ListParagraph"/>
        <w:numPr>
          <w:ilvl w:val="0"/>
          <w:numId w:val="27"/>
        </w:numPr>
        <w:spacing w:after="0"/>
      </w:pPr>
      <w:r>
        <w:t>Jan 27, 2021 – TAG #6, if needed</w:t>
      </w:r>
    </w:p>
    <w:p w14:paraId="653C12C2" w14:textId="48E329C6" w:rsidR="00D84E16" w:rsidRDefault="00D84E16" w:rsidP="00E049D3">
      <w:pPr>
        <w:pStyle w:val="ListParagraph"/>
        <w:numPr>
          <w:ilvl w:val="0"/>
          <w:numId w:val="27"/>
        </w:numPr>
        <w:spacing w:after="0"/>
      </w:pPr>
      <w:r>
        <w:t>Feb 26, 2021 - IRP filing in Washington</w:t>
      </w:r>
    </w:p>
    <w:p w14:paraId="581CC9CB" w14:textId="77777777" w:rsidR="00D84E16" w:rsidRDefault="00D84E16" w:rsidP="00D84E16">
      <w:pPr>
        <w:pStyle w:val="ListParagraph"/>
        <w:spacing w:after="0"/>
      </w:pPr>
    </w:p>
    <w:p w14:paraId="5F48001C" w14:textId="26485C48" w:rsidR="00D84E16" w:rsidRDefault="00D84E16" w:rsidP="00D84E16">
      <w:pPr>
        <w:spacing w:after="0"/>
        <w:ind w:left="1440" w:hanging="1440"/>
      </w:pPr>
      <w:r>
        <w:t>Brian showed attendees all members of Resource Planning’s contact information.</w:t>
      </w:r>
    </w:p>
    <w:p w14:paraId="7C36090D" w14:textId="1B6BD314" w:rsidR="00D84E16" w:rsidRDefault="00D84E16" w:rsidP="00D84E16">
      <w:pPr>
        <w:spacing w:after="0"/>
        <w:ind w:left="1440" w:hanging="1440"/>
      </w:pPr>
      <w:r>
        <w:t xml:space="preserve">Brian reminded the group that the demand forecast </w:t>
      </w:r>
      <w:r w:rsidR="009F5E8A">
        <w:t>must</w:t>
      </w:r>
      <w:r>
        <w:t xml:space="preserve"> be locked in soon!</w:t>
      </w:r>
    </w:p>
    <w:p w14:paraId="0F61ED3B" w14:textId="3AD6B54B" w:rsidR="00D84E16" w:rsidRDefault="00D84E16" w:rsidP="00D84E16">
      <w:pPr>
        <w:spacing w:after="0"/>
        <w:ind w:left="1440" w:hanging="1440"/>
      </w:pPr>
    </w:p>
    <w:p w14:paraId="59F5D550" w14:textId="24FB5F95" w:rsidR="00D84E16" w:rsidRDefault="00D84E16" w:rsidP="00D84E16">
      <w:pPr>
        <w:spacing w:after="0"/>
      </w:pPr>
      <w:r>
        <w:t>Mark said that it was good discussion today and thanked everyone reminding them to keep safe and healthy!</w:t>
      </w:r>
    </w:p>
    <w:p w14:paraId="5A8EAC3F" w14:textId="2E72D3EA" w:rsidR="00D84E16" w:rsidRDefault="00D84E16" w:rsidP="00D84E16">
      <w:pPr>
        <w:spacing w:after="0"/>
      </w:pPr>
    </w:p>
    <w:p w14:paraId="0638887C" w14:textId="7DDAA7FC" w:rsidR="00D84E16" w:rsidRDefault="00D84E16" w:rsidP="00D84E16">
      <w:pPr>
        <w:spacing w:after="0"/>
      </w:pPr>
      <w:r>
        <w:t>Brian remarked that this meeting sets a record for attendees at TAG #2.  He thanked everyone for their participation!</w:t>
      </w:r>
    </w:p>
    <w:p w14:paraId="486B5D84" w14:textId="59EF6B3E" w:rsidR="00D84E16" w:rsidRDefault="00D84E16" w:rsidP="00D84E16">
      <w:pPr>
        <w:spacing w:after="0"/>
      </w:pPr>
    </w:p>
    <w:p w14:paraId="4E98212B" w14:textId="0050AA41" w:rsidR="008D4F15" w:rsidRPr="00404C1A" w:rsidRDefault="00D84E16" w:rsidP="00404C1A">
      <w:pPr>
        <w:spacing w:after="0"/>
        <w:rPr>
          <w:b/>
          <w:bCs/>
        </w:rPr>
      </w:pPr>
      <w:r>
        <w:t>The meeting was adjourned</w:t>
      </w:r>
      <w:bookmarkStart w:id="0" w:name="_GoBack"/>
      <w:bookmarkEnd w:id="0"/>
    </w:p>
    <w:sectPr w:rsidR="008D4F15" w:rsidRPr="00404C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FE84" w14:textId="77777777" w:rsidR="00652E1C" w:rsidRDefault="00652E1C" w:rsidP="006D496F">
      <w:pPr>
        <w:spacing w:after="0"/>
      </w:pPr>
      <w:r>
        <w:separator/>
      </w:r>
    </w:p>
  </w:endnote>
  <w:endnote w:type="continuationSeparator" w:id="0">
    <w:p w14:paraId="7143BBBA" w14:textId="77777777" w:rsidR="00652E1C" w:rsidRDefault="00652E1C" w:rsidP="006D4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06666"/>
      <w:docPartObj>
        <w:docPartGallery w:val="Page Numbers (Bottom of Page)"/>
        <w:docPartUnique/>
      </w:docPartObj>
    </w:sdtPr>
    <w:sdtEndPr/>
    <w:sdtContent>
      <w:sdt>
        <w:sdtPr>
          <w:id w:val="-1769616900"/>
          <w:docPartObj>
            <w:docPartGallery w:val="Page Numbers (Top of Page)"/>
            <w:docPartUnique/>
          </w:docPartObj>
        </w:sdtPr>
        <w:sdtEndPr/>
        <w:sdtContent>
          <w:p w14:paraId="0264E24C" w14:textId="021B95B8" w:rsidR="001A2C27" w:rsidRDefault="001A2C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7A62C" w14:textId="77777777" w:rsidR="001A2C27" w:rsidRDefault="001A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991C" w14:textId="77777777" w:rsidR="00652E1C" w:rsidRDefault="00652E1C" w:rsidP="006D496F">
      <w:pPr>
        <w:spacing w:after="0"/>
      </w:pPr>
      <w:r>
        <w:separator/>
      </w:r>
    </w:p>
  </w:footnote>
  <w:footnote w:type="continuationSeparator" w:id="0">
    <w:p w14:paraId="44103BFD" w14:textId="77777777" w:rsidR="00652E1C" w:rsidRDefault="00652E1C" w:rsidP="006D4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B2B"/>
    <w:multiLevelType w:val="hybridMultilevel"/>
    <w:tmpl w:val="058C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A3A"/>
    <w:multiLevelType w:val="hybridMultilevel"/>
    <w:tmpl w:val="5BA2D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62CD8"/>
    <w:multiLevelType w:val="hybridMultilevel"/>
    <w:tmpl w:val="138C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B1FCF"/>
    <w:multiLevelType w:val="hybridMultilevel"/>
    <w:tmpl w:val="0BFC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3E7"/>
    <w:multiLevelType w:val="hybridMultilevel"/>
    <w:tmpl w:val="AC4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2A30"/>
    <w:multiLevelType w:val="hybridMultilevel"/>
    <w:tmpl w:val="0C7A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22BF4"/>
    <w:multiLevelType w:val="hybridMultilevel"/>
    <w:tmpl w:val="EC22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923B0"/>
    <w:multiLevelType w:val="hybridMultilevel"/>
    <w:tmpl w:val="9B60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43119"/>
    <w:multiLevelType w:val="hybridMultilevel"/>
    <w:tmpl w:val="81B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169D6"/>
    <w:multiLevelType w:val="hybridMultilevel"/>
    <w:tmpl w:val="FA2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1481F"/>
    <w:multiLevelType w:val="hybridMultilevel"/>
    <w:tmpl w:val="3EA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46873"/>
    <w:multiLevelType w:val="hybridMultilevel"/>
    <w:tmpl w:val="92B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48DB"/>
    <w:multiLevelType w:val="hybridMultilevel"/>
    <w:tmpl w:val="7A4A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35418"/>
    <w:multiLevelType w:val="hybridMultilevel"/>
    <w:tmpl w:val="EAC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24664"/>
    <w:multiLevelType w:val="hybridMultilevel"/>
    <w:tmpl w:val="403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9051D"/>
    <w:multiLevelType w:val="hybridMultilevel"/>
    <w:tmpl w:val="4BA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D6B8D"/>
    <w:multiLevelType w:val="hybridMultilevel"/>
    <w:tmpl w:val="AFE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86AE8"/>
    <w:multiLevelType w:val="hybridMultilevel"/>
    <w:tmpl w:val="2C30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11ACC"/>
    <w:multiLevelType w:val="hybridMultilevel"/>
    <w:tmpl w:val="BD0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F4F98"/>
    <w:multiLevelType w:val="hybridMultilevel"/>
    <w:tmpl w:val="A334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C2476"/>
    <w:multiLevelType w:val="hybridMultilevel"/>
    <w:tmpl w:val="ED0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614F8"/>
    <w:multiLevelType w:val="hybridMultilevel"/>
    <w:tmpl w:val="61E64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F254E3"/>
    <w:multiLevelType w:val="hybridMultilevel"/>
    <w:tmpl w:val="BE9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005E"/>
    <w:multiLevelType w:val="hybridMultilevel"/>
    <w:tmpl w:val="6F8E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8478E"/>
    <w:multiLevelType w:val="hybridMultilevel"/>
    <w:tmpl w:val="92BE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12D88"/>
    <w:multiLevelType w:val="hybridMultilevel"/>
    <w:tmpl w:val="E2C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560E2"/>
    <w:multiLevelType w:val="hybridMultilevel"/>
    <w:tmpl w:val="0DEC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95EA8"/>
    <w:multiLevelType w:val="hybridMultilevel"/>
    <w:tmpl w:val="1B16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17"/>
  </w:num>
  <w:num w:numId="5">
    <w:abstractNumId w:val="7"/>
  </w:num>
  <w:num w:numId="6">
    <w:abstractNumId w:val="0"/>
  </w:num>
  <w:num w:numId="7">
    <w:abstractNumId w:val="20"/>
  </w:num>
  <w:num w:numId="8">
    <w:abstractNumId w:val="3"/>
  </w:num>
  <w:num w:numId="9">
    <w:abstractNumId w:val="14"/>
  </w:num>
  <w:num w:numId="10">
    <w:abstractNumId w:val="25"/>
  </w:num>
  <w:num w:numId="11">
    <w:abstractNumId w:val="9"/>
  </w:num>
  <w:num w:numId="12">
    <w:abstractNumId w:val="12"/>
  </w:num>
  <w:num w:numId="13">
    <w:abstractNumId w:val="26"/>
  </w:num>
  <w:num w:numId="14">
    <w:abstractNumId w:val="27"/>
  </w:num>
  <w:num w:numId="15">
    <w:abstractNumId w:val="13"/>
  </w:num>
  <w:num w:numId="16">
    <w:abstractNumId w:val="16"/>
  </w:num>
  <w:num w:numId="17">
    <w:abstractNumId w:val="24"/>
  </w:num>
  <w:num w:numId="18">
    <w:abstractNumId w:val="21"/>
  </w:num>
  <w:num w:numId="19">
    <w:abstractNumId w:val="11"/>
  </w:num>
  <w:num w:numId="20">
    <w:abstractNumId w:val="23"/>
  </w:num>
  <w:num w:numId="21">
    <w:abstractNumId w:val="5"/>
  </w:num>
  <w:num w:numId="22">
    <w:abstractNumId w:val="4"/>
  </w:num>
  <w:num w:numId="23">
    <w:abstractNumId w:val="19"/>
  </w:num>
  <w:num w:numId="24">
    <w:abstractNumId w:val="8"/>
  </w:num>
  <w:num w:numId="25">
    <w:abstractNumId w:val="10"/>
  </w:num>
  <w:num w:numId="26">
    <w:abstractNumId w:val="15"/>
  </w:num>
  <w:num w:numId="27">
    <w:abstractNumId w:val="2"/>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E5"/>
    <w:rsid w:val="00025F41"/>
    <w:rsid w:val="0004104A"/>
    <w:rsid w:val="00047250"/>
    <w:rsid w:val="00080076"/>
    <w:rsid w:val="000A289D"/>
    <w:rsid w:val="000C7F50"/>
    <w:rsid w:val="000F3BB2"/>
    <w:rsid w:val="000F44A7"/>
    <w:rsid w:val="00107B61"/>
    <w:rsid w:val="00110FCD"/>
    <w:rsid w:val="00142876"/>
    <w:rsid w:val="0015286D"/>
    <w:rsid w:val="001800CD"/>
    <w:rsid w:val="00192450"/>
    <w:rsid w:val="001A2C27"/>
    <w:rsid w:val="001B2400"/>
    <w:rsid w:val="001B296A"/>
    <w:rsid w:val="002014DD"/>
    <w:rsid w:val="002111D8"/>
    <w:rsid w:val="002171D0"/>
    <w:rsid w:val="002412A7"/>
    <w:rsid w:val="00254299"/>
    <w:rsid w:val="002550D7"/>
    <w:rsid w:val="00272122"/>
    <w:rsid w:val="002A5A4E"/>
    <w:rsid w:val="002A616E"/>
    <w:rsid w:val="002F23B7"/>
    <w:rsid w:val="00300F45"/>
    <w:rsid w:val="003245AE"/>
    <w:rsid w:val="0035154B"/>
    <w:rsid w:val="00374015"/>
    <w:rsid w:val="00376B95"/>
    <w:rsid w:val="00391B02"/>
    <w:rsid w:val="003B3355"/>
    <w:rsid w:val="003F7D04"/>
    <w:rsid w:val="00404C1A"/>
    <w:rsid w:val="00404E02"/>
    <w:rsid w:val="0040557D"/>
    <w:rsid w:val="00413D02"/>
    <w:rsid w:val="00434F74"/>
    <w:rsid w:val="00443208"/>
    <w:rsid w:val="0046382A"/>
    <w:rsid w:val="004A4B66"/>
    <w:rsid w:val="004B04CD"/>
    <w:rsid w:val="00514D3C"/>
    <w:rsid w:val="005637A5"/>
    <w:rsid w:val="005873F6"/>
    <w:rsid w:val="00595AFE"/>
    <w:rsid w:val="00597974"/>
    <w:rsid w:val="005D054D"/>
    <w:rsid w:val="005D3AA0"/>
    <w:rsid w:val="005D4485"/>
    <w:rsid w:val="005D7F64"/>
    <w:rsid w:val="0064252A"/>
    <w:rsid w:val="006455FF"/>
    <w:rsid w:val="00652E1C"/>
    <w:rsid w:val="006714DD"/>
    <w:rsid w:val="00680C93"/>
    <w:rsid w:val="0069092B"/>
    <w:rsid w:val="006D496F"/>
    <w:rsid w:val="006D7D9B"/>
    <w:rsid w:val="0070572A"/>
    <w:rsid w:val="00717B3F"/>
    <w:rsid w:val="0072211B"/>
    <w:rsid w:val="00786E50"/>
    <w:rsid w:val="00787C3E"/>
    <w:rsid w:val="00797546"/>
    <w:rsid w:val="007A395A"/>
    <w:rsid w:val="007C17D4"/>
    <w:rsid w:val="007F4094"/>
    <w:rsid w:val="00803441"/>
    <w:rsid w:val="008216F1"/>
    <w:rsid w:val="008218F8"/>
    <w:rsid w:val="00826842"/>
    <w:rsid w:val="00826DB4"/>
    <w:rsid w:val="00834BE6"/>
    <w:rsid w:val="008461BF"/>
    <w:rsid w:val="0086741F"/>
    <w:rsid w:val="00891E3E"/>
    <w:rsid w:val="008A7D39"/>
    <w:rsid w:val="008B54F9"/>
    <w:rsid w:val="008D4F15"/>
    <w:rsid w:val="008E3D5B"/>
    <w:rsid w:val="008F4C32"/>
    <w:rsid w:val="00903F4C"/>
    <w:rsid w:val="00932392"/>
    <w:rsid w:val="00935F06"/>
    <w:rsid w:val="0096577A"/>
    <w:rsid w:val="009744F1"/>
    <w:rsid w:val="009802AD"/>
    <w:rsid w:val="00982FA3"/>
    <w:rsid w:val="0099347F"/>
    <w:rsid w:val="009938C4"/>
    <w:rsid w:val="009B17F7"/>
    <w:rsid w:val="009F5E8A"/>
    <w:rsid w:val="00A03830"/>
    <w:rsid w:val="00A54C18"/>
    <w:rsid w:val="00A744C3"/>
    <w:rsid w:val="00A81953"/>
    <w:rsid w:val="00A8311F"/>
    <w:rsid w:val="00AA08DF"/>
    <w:rsid w:val="00AA7FE7"/>
    <w:rsid w:val="00AB0B47"/>
    <w:rsid w:val="00AD23D2"/>
    <w:rsid w:val="00AE364C"/>
    <w:rsid w:val="00AF2445"/>
    <w:rsid w:val="00B1194D"/>
    <w:rsid w:val="00B74167"/>
    <w:rsid w:val="00BA0351"/>
    <w:rsid w:val="00BB697D"/>
    <w:rsid w:val="00BD57EF"/>
    <w:rsid w:val="00BF1600"/>
    <w:rsid w:val="00C46AFE"/>
    <w:rsid w:val="00C56245"/>
    <w:rsid w:val="00CA0D7D"/>
    <w:rsid w:val="00CA5B9B"/>
    <w:rsid w:val="00CB496A"/>
    <w:rsid w:val="00CC4F83"/>
    <w:rsid w:val="00CD7E46"/>
    <w:rsid w:val="00D01DFE"/>
    <w:rsid w:val="00D324F2"/>
    <w:rsid w:val="00D36B3D"/>
    <w:rsid w:val="00D4162D"/>
    <w:rsid w:val="00D45CC9"/>
    <w:rsid w:val="00D533E3"/>
    <w:rsid w:val="00D57BD0"/>
    <w:rsid w:val="00D7112B"/>
    <w:rsid w:val="00D84E16"/>
    <w:rsid w:val="00DC2EC7"/>
    <w:rsid w:val="00DD6FD0"/>
    <w:rsid w:val="00E049D3"/>
    <w:rsid w:val="00E12DFB"/>
    <w:rsid w:val="00E54295"/>
    <w:rsid w:val="00E8799E"/>
    <w:rsid w:val="00E95707"/>
    <w:rsid w:val="00EB0610"/>
    <w:rsid w:val="00EE3308"/>
    <w:rsid w:val="00EE4AE5"/>
    <w:rsid w:val="00EE5377"/>
    <w:rsid w:val="00EF359A"/>
    <w:rsid w:val="00F233E0"/>
    <w:rsid w:val="00F43E4A"/>
    <w:rsid w:val="00F5009C"/>
    <w:rsid w:val="00F614FB"/>
    <w:rsid w:val="00F618A4"/>
    <w:rsid w:val="00F6519D"/>
    <w:rsid w:val="00F953E6"/>
    <w:rsid w:val="00FC6E79"/>
    <w:rsid w:val="00FC7546"/>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20B3"/>
  <w15:chartTrackingRefBased/>
  <w15:docId w15:val="{638A65A4-846C-40C1-B789-958610F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2A"/>
    <w:pPr>
      <w:spacing w:after="20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1A"/>
    <w:pPr>
      <w:ind w:left="720"/>
      <w:contextualSpacing/>
    </w:pPr>
  </w:style>
  <w:style w:type="paragraph" w:styleId="Header">
    <w:name w:val="header"/>
    <w:basedOn w:val="Normal"/>
    <w:link w:val="HeaderChar"/>
    <w:uiPriority w:val="99"/>
    <w:unhideWhenUsed/>
    <w:rsid w:val="006D496F"/>
    <w:pPr>
      <w:tabs>
        <w:tab w:val="center" w:pos="4680"/>
        <w:tab w:val="right" w:pos="9360"/>
      </w:tabs>
      <w:spacing w:after="0"/>
    </w:pPr>
  </w:style>
  <w:style w:type="character" w:customStyle="1" w:styleId="HeaderChar">
    <w:name w:val="Header Char"/>
    <w:basedOn w:val="DefaultParagraphFont"/>
    <w:link w:val="Header"/>
    <w:uiPriority w:val="99"/>
    <w:rsid w:val="006D496F"/>
    <w:rPr>
      <w:rFonts w:cs="Arial"/>
    </w:rPr>
  </w:style>
  <w:style w:type="paragraph" w:styleId="Footer">
    <w:name w:val="footer"/>
    <w:basedOn w:val="Normal"/>
    <w:link w:val="FooterChar"/>
    <w:uiPriority w:val="99"/>
    <w:unhideWhenUsed/>
    <w:rsid w:val="006D496F"/>
    <w:pPr>
      <w:tabs>
        <w:tab w:val="center" w:pos="4680"/>
        <w:tab w:val="right" w:pos="9360"/>
      </w:tabs>
      <w:spacing w:after="0"/>
    </w:pPr>
  </w:style>
  <w:style w:type="character" w:customStyle="1" w:styleId="FooterChar">
    <w:name w:val="Footer Char"/>
    <w:basedOn w:val="DefaultParagraphFont"/>
    <w:link w:val="Footer"/>
    <w:uiPriority w:val="99"/>
    <w:rsid w:val="006D496F"/>
    <w:rPr>
      <w:rFonts w:cs="Arial"/>
    </w:rPr>
  </w:style>
  <w:style w:type="character" w:styleId="Hyperlink">
    <w:name w:val="Hyperlink"/>
    <w:basedOn w:val="DefaultParagraphFont"/>
    <w:uiPriority w:val="99"/>
    <w:unhideWhenUsed/>
    <w:rsid w:val="00E049D3"/>
    <w:rPr>
      <w:color w:val="0563C1" w:themeColor="hyperlink"/>
      <w:u w:val="single"/>
    </w:rPr>
  </w:style>
  <w:style w:type="character" w:styleId="UnresolvedMention">
    <w:name w:val="Unresolved Mention"/>
    <w:basedOn w:val="DefaultParagraphFont"/>
    <w:uiPriority w:val="99"/>
    <w:semiHidden/>
    <w:unhideWhenUsed/>
    <w:rsid w:val="00E0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P@cng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1095</Words>
  <Characters>6243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2</cp:revision>
  <dcterms:created xsi:type="dcterms:W3CDTF">2020-07-29T16:21:00Z</dcterms:created>
  <dcterms:modified xsi:type="dcterms:W3CDTF">2020-07-29T16:21:00Z</dcterms:modified>
</cp:coreProperties>
</file>