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34076" w14:textId="77777777" w:rsidR="00DE25BA" w:rsidRDefault="00DE25BA" w:rsidP="00DE25BA">
      <w:pPr>
        <w:jc w:val="center"/>
        <w:rPr>
          <w:b/>
          <w:bCs/>
        </w:rPr>
      </w:pPr>
      <w:r>
        <w:rPr>
          <w:noProof/>
        </w:rPr>
        <w:drawing>
          <wp:inline distT="0" distB="0" distL="0" distR="0" wp14:anchorId="7E7897CD" wp14:editId="73649FCF">
            <wp:extent cx="2076450" cy="86319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rge CNG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33823" cy="887041"/>
                    </a:xfrm>
                    <a:prstGeom prst="rect">
                      <a:avLst/>
                    </a:prstGeom>
                  </pic:spPr>
                </pic:pic>
              </a:graphicData>
            </a:graphic>
          </wp:inline>
        </w:drawing>
      </w:r>
    </w:p>
    <w:p w14:paraId="79CCBAEB" w14:textId="77777777" w:rsidR="00DE25BA" w:rsidRDefault="00DE25BA" w:rsidP="00DE25BA">
      <w:pPr>
        <w:jc w:val="center"/>
        <w:rPr>
          <w:b/>
          <w:bCs/>
        </w:rPr>
      </w:pPr>
    </w:p>
    <w:p w14:paraId="3E2BB139" w14:textId="1544D58D" w:rsidR="00DE25BA" w:rsidRDefault="00DE25BA" w:rsidP="00DE25BA">
      <w:pPr>
        <w:jc w:val="center"/>
        <w:rPr>
          <w:b/>
          <w:bCs/>
        </w:rPr>
      </w:pPr>
      <w:r>
        <w:rPr>
          <w:b/>
          <w:bCs/>
        </w:rPr>
        <w:t xml:space="preserve">CARES Advisory Group Meeting </w:t>
      </w:r>
      <w:r w:rsidR="00D37CA7">
        <w:rPr>
          <w:b/>
          <w:bCs/>
        </w:rPr>
        <w:t>Notes</w:t>
      </w:r>
    </w:p>
    <w:p w14:paraId="2D3AA842" w14:textId="220E8829" w:rsidR="00DE25BA" w:rsidRDefault="0083530A" w:rsidP="00DE25BA">
      <w:pPr>
        <w:jc w:val="center"/>
        <w:rPr>
          <w:b/>
          <w:bCs/>
        </w:rPr>
      </w:pPr>
      <w:r>
        <w:rPr>
          <w:b/>
          <w:bCs/>
        </w:rPr>
        <w:t>Ma</w:t>
      </w:r>
      <w:r w:rsidR="00F73A8B">
        <w:rPr>
          <w:b/>
          <w:bCs/>
        </w:rPr>
        <w:t>y</w:t>
      </w:r>
      <w:r w:rsidR="00DE25BA">
        <w:rPr>
          <w:b/>
          <w:bCs/>
        </w:rPr>
        <w:t xml:space="preserve"> </w:t>
      </w:r>
      <w:r w:rsidR="00F73A8B">
        <w:rPr>
          <w:b/>
          <w:bCs/>
        </w:rPr>
        <w:t>21</w:t>
      </w:r>
      <w:r w:rsidR="00DE25BA">
        <w:rPr>
          <w:b/>
          <w:bCs/>
        </w:rPr>
        <w:t>, 202</w:t>
      </w:r>
      <w:r w:rsidR="0027706A">
        <w:rPr>
          <w:b/>
          <w:bCs/>
        </w:rPr>
        <w:t>5</w:t>
      </w:r>
      <w:r w:rsidR="00DE25BA">
        <w:rPr>
          <w:b/>
          <w:bCs/>
        </w:rPr>
        <w:t xml:space="preserve">    2:00 – 3:00pm Pacific</w:t>
      </w:r>
    </w:p>
    <w:p w14:paraId="3E55A991" w14:textId="77777777" w:rsidR="00DE25BA" w:rsidRPr="00051C67" w:rsidRDefault="00DE25BA" w:rsidP="00DE25BA">
      <w:pPr>
        <w:jc w:val="both"/>
      </w:pPr>
    </w:p>
    <w:tbl>
      <w:tblPr>
        <w:tblStyle w:val="TableGrid"/>
        <w:tblW w:w="10350" w:type="dxa"/>
        <w:jc w:val="center"/>
        <w:tblLook w:val="04A0" w:firstRow="1" w:lastRow="0" w:firstColumn="1" w:lastColumn="0" w:noHBand="0" w:noVBand="1"/>
      </w:tblPr>
      <w:tblGrid>
        <w:gridCol w:w="5400"/>
        <w:gridCol w:w="4950"/>
      </w:tblGrid>
      <w:tr w:rsidR="00DE25BA" w:rsidRPr="00F60E65" w14:paraId="0C46443E" w14:textId="77777777" w:rsidTr="005E7B33">
        <w:trPr>
          <w:jc w:val="center"/>
        </w:trPr>
        <w:tc>
          <w:tcPr>
            <w:tcW w:w="5400" w:type="dxa"/>
            <w:shd w:val="clear" w:color="auto" w:fill="D9D9D9" w:themeFill="background1" w:themeFillShade="D9"/>
          </w:tcPr>
          <w:p w14:paraId="7757055A" w14:textId="77777777" w:rsidR="00DE25BA" w:rsidRPr="00F60E65" w:rsidRDefault="00DE25BA" w:rsidP="005E7B33">
            <w:pPr>
              <w:pStyle w:val="ListParagraph"/>
              <w:ind w:left="0"/>
              <w:rPr>
                <w:b/>
              </w:rPr>
            </w:pPr>
            <w:r>
              <w:rPr>
                <w:b/>
              </w:rPr>
              <w:t>Advisory Group Member</w:t>
            </w:r>
          </w:p>
        </w:tc>
        <w:tc>
          <w:tcPr>
            <w:tcW w:w="4950" w:type="dxa"/>
            <w:shd w:val="clear" w:color="auto" w:fill="D9D9D9" w:themeFill="background1" w:themeFillShade="D9"/>
          </w:tcPr>
          <w:p w14:paraId="60753A31" w14:textId="77777777" w:rsidR="00DE25BA" w:rsidRPr="00F60E65" w:rsidRDefault="00DE25BA" w:rsidP="005E7B33">
            <w:pPr>
              <w:pStyle w:val="ListParagraph"/>
              <w:ind w:left="0"/>
              <w:rPr>
                <w:b/>
              </w:rPr>
            </w:pPr>
          </w:p>
        </w:tc>
      </w:tr>
      <w:tr w:rsidR="00DE25BA" w:rsidRPr="00BD08D3" w14:paraId="02F32F81" w14:textId="77777777" w:rsidTr="005E7B33">
        <w:trPr>
          <w:jc w:val="center"/>
        </w:trPr>
        <w:tc>
          <w:tcPr>
            <w:tcW w:w="5400" w:type="dxa"/>
          </w:tcPr>
          <w:p w14:paraId="7EB4BB36" w14:textId="77777777" w:rsidR="00DE25BA" w:rsidRPr="00BD08D3" w:rsidRDefault="00DE25BA" w:rsidP="005E7B33">
            <w:pPr>
              <w:pStyle w:val="ListParagraph"/>
              <w:ind w:left="0"/>
            </w:pPr>
            <w:r w:rsidRPr="00BD08D3">
              <w:t>Blue Mountain Action Council</w:t>
            </w:r>
            <w:r>
              <w:t xml:space="preserve"> (BMAC)</w:t>
            </w:r>
          </w:p>
        </w:tc>
        <w:tc>
          <w:tcPr>
            <w:tcW w:w="4950" w:type="dxa"/>
          </w:tcPr>
          <w:p w14:paraId="767F0BC3" w14:textId="77777777" w:rsidR="00DE25BA" w:rsidRPr="00BD08D3" w:rsidRDefault="00DE25BA" w:rsidP="005E7B33">
            <w:pPr>
              <w:pStyle w:val="ListParagraph"/>
              <w:ind w:left="0"/>
              <w:rPr>
                <w:color w:val="FF0000"/>
              </w:rPr>
            </w:pPr>
            <w:r w:rsidRPr="00BD08D3">
              <w:t>Sylvia Schaefer</w:t>
            </w:r>
          </w:p>
        </w:tc>
      </w:tr>
      <w:tr w:rsidR="00DE25BA" w:rsidRPr="00BD08D3" w14:paraId="1411B599" w14:textId="77777777" w:rsidTr="005E7B33">
        <w:trPr>
          <w:jc w:val="center"/>
        </w:trPr>
        <w:tc>
          <w:tcPr>
            <w:tcW w:w="5400" w:type="dxa"/>
          </w:tcPr>
          <w:p w14:paraId="46721E7C" w14:textId="77777777" w:rsidR="00DE25BA" w:rsidRPr="00BD08D3" w:rsidRDefault="00DE25BA" w:rsidP="005E7B33">
            <w:pPr>
              <w:pStyle w:val="ListParagraph"/>
              <w:ind w:left="0"/>
            </w:pPr>
            <w:r>
              <w:t xml:space="preserve">Benton-Franklin </w:t>
            </w:r>
            <w:r w:rsidRPr="00BD08D3">
              <w:t>Community Action Connections</w:t>
            </w:r>
            <w:r>
              <w:t xml:space="preserve"> (CAC)</w:t>
            </w:r>
          </w:p>
        </w:tc>
        <w:tc>
          <w:tcPr>
            <w:tcW w:w="4950" w:type="dxa"/>
          </w:tcPr>
          <w:p w14:paraId="230864DA" w14:textId="77777777" w:rsidR="00DE25BA" w:rsidRPr="00BD08D3" w:rsidRDefault="00DE25BA" w:rsidP="005E7B33">
            <w:pPr>
              <w:pStyle w:val="ListParagraph"/>
              <w:ind w:left="0"/>
            </w:pPr>
            <w:r w:rsidRPr="00BD08D3">
              <w:t>Dalia Ochoa</w:t>
            </w:r>
          </w:p>
        </w:tc>
      </w:tr>
      <w:tr w:rsidR="00DE25BA" w:rsidRPr="00BD08D3" w14:paraId="628050DE" w14:textId="77777777" w:rsidTr="005E7B33">
        <w:trPr>
          <w:jc w:val="center"/>
        </w:trPr>
        <w:tc>
          <w:tcPr>
            <w:tcW w:w="5400" w:type="dxa"/>
          </w:tcPr>
          <w:p w14:paraId="06705D1E" w14:textId="77777777" w:rsidR="00DE25BA" w:rsidRPr="00BD08D3" w:rsidRDefault="00DE25BA" w:rsidP="005E7B33">
            <w:pPr>
              <w:pStyle w:val="ListParagraph"/>
              <w:ind w:left="0"/>
            </w:pPr>
            <w:r w:rsidRPr="00BD08D3">
              <w:t>Community Action of Lewis, Mason, &amp; Thurston Counties</w:t>
            </w:r>
            <w:r>
              <w:t xml:space="preserve"> (CACLMT)</w:t>
            </w:r>
          </w:p>
        </w:tc>
        <w:tc>
          <w:tcPr>
            <w:tcW w:w="4950" w:type="dxa"/>
          </w:tcPr>
          <w:p w14:paraId="1FB0F3A9" w14:textId="142C2B24" w:rsidR="00DE25BA" w:rsidRPr="00BD08D3" w:rsidRDefault="000A5998" w:rsidP="005E7B33">
            <w:pPr>
              <w:pStyle w:val="ListParagraph"/>
              <w:ind w:left="0"/>
            </w:pPr>
            <w:r>
              <w:t xml:space="preserve">                                                                                       </w:t>
            </w:r>
            <w:r w:rsidR="00DE25BA">
              <w:t>Ester Castro, Stephenie Arnold</w:t>
            </w:r>
          </w:p>
        </w:tc>
      </w:tr>
      <w:tr w:rsidR="00DE25BA" w:rsidRPr="00BD08D3" w14:paraId="263E8125" w14:textId="77777777" w:rsidTr="005E7B33">
        <w:trPr>
          <w:jc w:val="center"/>
        </w:trPr>
        <w:tc>
          <w:tcPr>
            <w:tcW w:w="5400" w:type="dxa"/>
          </w:tcPr>
          <w:p w14:paraId="6FAB3082" w14:textId="77777777" w:rsidR="00DE25BA" w:rsidRPr="00BD08D3" w:rsidRDefault="00DE25BA" w:rsidP="005E7B33">
            <w:pPr>
              <w:pStyle w:val="ListParagraph"/>
              <w:ind w:left="0"/>
            </w:pPr>
            <w:r w:rsidRPr="00BD08D3">
              <w:t>Coastal Community Action Program</w:t>
            </w:r>
            <w:r>
              <w:t xml:space="preserve"> (CCAP)</w:t>
            </w:r>
          </w:p>
        </w:tc>
        <w:tc>
          <w:tcPr>
            <w:tcW w:w="4950" w:type="dxa"/>
          </w:tcPr>
          <w:p w14:paraId="1570DF98" w14:textId="77777777" w:rsidR="00DE25BA" w:rsidRPr="00BD08D3" w:rsidRDefault="00DE25BA" w:rsidP="005E7B33">
            <w:pPr>
              <w:pStyle w:val="ListParagraph"/>
              <w:ind w:left="0"/>
            </w:pPr>
            <w:r w:rsidRPr="00BD08D3">
              <w:t>Debbie Gregg</w:t>
            </w:r>
          </w:p>
        </w:tc>
      </w:tr>
      <w:tr w:rsidR="00DE25BA" w:rsidRPr="00BD08D3" w14:paraId="71052967" w14:textId="77777777" w:rsidTr="005E7B33">
        <w:trPr>
          <w:jc w:val="center"/>
        </w:trPr>
        <w:tc>
          <w:tcPr>
            <w:tcW w:w="5400" w:type="dxa"/>
          </w:tcPr>
          <w:p w14:paraId="46ED2163" w14:textId="77777777" w:rsidR="00DE25BA" w:rsidRPr="00BD08D3" w:rsidRDefault="00DE25BA" w:rsidP="005E7B33">
            <w:pPr>
              <w:pStyle w:val="ListParagraph"/>
              <w:ind w:left="0"/>
            </w:pPr>
            <w:r w:rsidRPr="00BD08D3">
              <w:t>Chelan-Douglas Community Action Council</w:t>
            </w:r>
            <w:r>
              <w:t xml:space="preserve"> (CDCAC)</w:t>
            </w:r>
          </w:p>
        </w:tc>
        <w:tc>
          <w:tcPr>
            <w:tcW w:w="4950" w:type="dxa"/>
          </w:tcPr>
          <w:p w14:paraId="1226AE9B" w14:textId="77777777" w:rsidR="00DE25BA" w:rsidRPr="00BD08D3" w:rsidRDefault="00DE25BA" w:rsidP="005E7B33">
            <w:pPr>
              <w:pStyle w:val="ListParagraph"/>
              <w:ind w:left="0"/>
            </w:pPr>
            <w:r>
              <w:t>Tom Bonwell, Sarah Brito, Alan Walker</w:t>
            </w:r>
          </w:p>
        </w:tc>
      </w:tr>
      <w:tr w:rsidR="00DE25BA" w:rsidRPr="00BD08D3" w14:paraId="714555AD" w14:textId="77777777" w:rsidTr="005E7B33">
        <w:trPr>
          <w:jc w:val="center"/>
        </w:trPr>
        <w:tc>
          <w:tcPr>
            <w:tcW w:w="5400" w:type="dxa"/>
          </w:tcPr>
          <w:p w14:paraId="6E123DFD" w14:textId="77777777" w:rsidR="00DE25BA" w:rsidRPr="00BD08D3" w:rsidRDefault="00DE25BA" w:rsidP="005E7B33">
            <w:pPr>
              <w:pStyle w:val="ListParagraph"/>
              <w:ind w:left="0"/>
            </w:pPr>
            <w:r w:rsidRPr="00BD08D3">
              <w:t>Kitsap Community Resources</w:t>
            </w:r>
            <w:r>
              <w:t xml:space="preserve"> (KCR)</w:t>
            </w:r>
          </w:p>
        </w:tc>
        <w:tc>
          <w:tcPr>
            <w:tcW w:w="4950" w:type="dxa"/>
          </w:tcPr>
          <w:p w14:paraId="4CE11090" w14:textId="77777777" w:rsidR="00DE25BA" w:rsidRPr="00BD08D3" w:rsidRDefault="00DE25BA" w:rsidP="005E7B33">
            <w:pPr>
              <w:pStyle w:val="ListParagraph"/>
              <w:ind w:left="0"/>
              <w:rPr>
                <w:rFonts w:eastAsia="Times New Roman"/>
              </w:rPr>
            </w:pPr>
            <w:r w:rsidRPr="00BD08D3">
              <w:rPr>
                <w:rFonts w:eastAsia="Times New Roman"/>
              </w:rPr>
              <w:t>Kandi Balandran</w:t>
            </w:r>
          </w:p>
        </w:tc>
      </w:tr>
      <w:tr w:rsidR="00DE25BA" w:rsidRPr="00BD08D3" w14:paraId="3ED54A08" w14:textId="77777777" w:rsidTr="005E7B33">
        <w:trPr>
          <w:jc w:val="center"/>
        </w:trPr>
        <w:tc>
          <w:tcPr>
            <w:tcW w:w="5400" w:type="dxa"/>
          </w:tcPr>
          <w:p w14:paraId="0BF4C73C" w14:textId="77777777" w:rsidR="00DE25BA" w:rsidRPr="00BD08D3" w:rsidRDefault="00DE25BA" w:rsidP="005E7B33">
            <w:pPr>
              <w:pStyle w:val="ListParagraph"/>
              <w:ind w:left="0"/>
            </w:pPr>
            <w:r w:rsidRPr="00BD08D3">
              <w:t>Lower Columbia Community Action Center</w:t>
            </w:r>
            <w:r>
              <w:t xml:space="preserve"> (LCCAP)</w:t>
            </w:r>
          </w:p>
        </w:tc>
        <w:tc>
          <w:tcPr>
            <w:tcW w:w="4950" w:type="dxa"/>
          </w:tcPr>
          <w:p w14:paraId="488C062A" w14:textId="77777777" w:rsidR="00DE25BA" w:rsidRPr="00BD08D3" w:rsidRDefault="00DE25BA" w:rsidP="005E7B33">
            <w:pPr>
              <w:pStyle w:val="ListParagraph"/>
              <w:ind w:left="0"/>
              <w:rPr>
                <w:rFonts w:eastAsia="Times New Roman"/>
              </w:rPr>
            </w:pPr>
            <w:r w:rsidRPr="00BD08D3">
              <w:rPr>
                <w:rFonts w:eastAsia="Times New Roman"/>
              </w:rPr>
              <w:t>Kathy Bates</w:t>
            </w:r>
          </w:p>
        </w:tc>
      </w:tr>
      <w:tr w:rsidR="00DE25BA" w:rsidRPr="00BD08D3" w14:paraId="53CC7A8E" w14:textId="77777777" w:rsidTr="005E7B33">
        <w:trPr>
          <w:jc w:val="center"/>
        </w:trPr>
        <w:tc>
          <w:tcPr>
            <w:tcW w:w="5400" w:type="dxa"/>
          </w:tcPr>
          <w:p w14:paraId="1785E768" w14:textId="77777777" w:rsidR="00DE25BA" w:rsidRPr="00BD08D3" w:rsidRDefault="00DE25BA" w:rsidP="005E7B33">
            <w:pPr>
              <w:pStyle w:val="ListParagraph"/>
              <w:ind w:left="0"/>
            </w:pPr>
            <w:r w:rsidRPr="00BD08D3">
              <w:t>NW Community Action Center</w:t>
            </w:r>
            <w:r>
              <w:t xml:space="preserve"> (NCAC)</w:t>
            </w:r>
          </w:p>
        </w:tc>
        <w:tc>
          <w:tcPr>
            <w:tcW w:w="4950" w:type="dxa"/>
          </w:tcPr>
          <w:p w14:paraId="070B33BC" w14:textId="77777777" w:rsidR="00DE25BA" w:rsidRPr="00BD08D3" w:rsidRDefault="00DE25BA" w:rsidP="005E7B33">
            <w:pPr>
              <w:pStyle w:val="ListParagraph"/>
              <w:ind w:left="0"/>
              <w:rPr>
                <w:rFonts w:eastAsia="Times New Roman"/>
              </w:rPr>
            </w:pPr>
            <w:r w:rsidRPr="00BD08D3">
              <w:rPr>
                <w:rFonts w:eastAsia="Times New Roman"/>
              </w:rPr>
              <w:t>Jose Alvarez</w:t>
            </w:r>
          </w:p>
        </w:tc>
      </w:tr>
      <w:tr w:rsidR="00DE25BA" w:rsidRPr="00BD08D3" w14:paraId="0D5AA300" w14:textId="77777777" w:rsidTr="005E7B33">
        <w:trPr>
          <w:jc w:val="center"/>
        </w:trPr>
        <w:tc>
          <w:tcPr>
            <w:tcW w:w="5400" w:type="dxa"/>
          </w:tcPr>
          <w:p w14:paraId="66866975" w14:textId="77777777" w:rsidR="00DE25BA" w:rsidRPr="00BD08D3" w:rsidRDefault="00DE25BA" w:rsidP="005E7B33">
            <w:pPr>
              <w:pStyle w:val="ListParagraph"/>
              <w:ind w:left="0"/>
            </w:pPr>
            <w:r w:rsidRPr="00BD08D3">
              <w:t>OIC of Washington</w:t>
            </w:r>
            <w:r>
              <w:t xml:space="preserve"> (OIC)</w:t>
            </w:r>
          </w:p>
        </w:tc>
        <w:tc>
          <w:tcPr>
            <w:tcW w:w="4950" w:type="dxa"/>
          </w:tcPr>
          <w:p w14:paraId="4D889F78" w14:textId="77777777" w:rsidR="00DE25BA" w:rsidRPr="00BD08D3" w:rsidRDefault="00DE25BA" w:rsidP="005E7B33">
            <w:pPr>
              <w:pStyle w:val="ListParagraph"/>
              <w:ind w:left="0"/>
              <w:rPr>
                <w:rFonts w:eastAsia="Times New Roman"/>
              </w:rPr>
            </w:pPr>
            <w:r w:rsidRPr="00BD08D3">
              <w:rPr>
                <w:rFonts w:eastAsia="Times New Roman"/>
              </w:rPr>
              <w:t>Heidi Silva, Casandra Ochoa</w:t>
            </w:r>
            <w:r>
              <w:rPr>
                <w:rFonts w:eastAsia="Times New Roman"/>
              </w:rPr>
              <w:t>, Candi Jaeger</w:t>
            </w:r>
          </w:p>
        </w:tc>
      </w:tr>
      <w:tr w:rsidR="00DE25BA" w:rsidRPr="00BD08D3" w14:paraId="088E1A5D" w14:textId="77777777" w:rsidTr="005E7B33">
        <w:trPr>
          <w:jc w:val="center"/>
        </w:trPr>
        <w:tc>
          <w:tcPr>
            <w:tcW w:w="5400" w:type="dxa"/>
          </w:tcPr>
          <w:p w14:paraId="692BF9C2" w14:textId="77777777" w:rsidR="00DE25BA" w:rsidRPr="00BD08D3" w:rsidRDefault="00DE25BA" w:rsidP="005E7B33">
            <w:pPr>
              <w:pStyle w:val="ListParagraph"/>
              <w:ind w:left="0"/>
            </w:pPr>
            <w:r w:rsidRPr="00BD08D3">
              <w:t>Opportunity Council</w:t>
            </w:r>
            <w:r>
              <w:t xml:space="preserve"> (OPPCO)</w:t>
            </w:r>
          </w:p>
        </w:tc>
        <w:tc>
          <w:tcPr>
            <w:tcW w:w="4950" w:type="dxa"/>
          </w:tcPr>
          <w:p w14:paraId="5719819C" w14:textId="77777777" w:rsidR="00DE25BA" w:rsidRPr="00BD08D3" w:rsidRDefault="00DE25BA" w:rsidP="005E7B33">
            <w:pPr>
              <w:pStyle w:val="ListParagraph"/>
              <w:ind w:left="0"/>
              <w:rPr>
                <w:rFonts w:eastAsia="Times New Roman"/>
              </w:rPr>
            </w:pPr>
            <w:r w:rsidRPr="00BD08D3">
              <w:rPr>
                <w:rFonts w:eastAsia="Times New Roman"/>
              </w:rPr>
              <w:t xml:space="preserve">Marie </w:t>
            </w:r>
            <w:r>
              <w:rPr>
                <w:rFonts w:eastAsia="Times New Roman"/>
              </w:rPr>
              <w:t>Stanley, Melissa Gong</w:t>
            </w:r>
          </w:p>
        </w:tc>
      </w:tr>
      <w:tr w:rsidR="00DE25BA" w:rsidRPr="00BD08D3" w14:paraId="059EF0DE" w14:textId="77777777" w:rsidTr="005E7B33">
        <w:trPr>
          <w:jc w:val="center"/>
        </w:trPr>
        <w:tc>
          <w:tcPr>
            <w:tcW w:w="5400" w:type="dxa"/>
          </w:tcPr>
          <w:p w14:paraId="4E960959" w14:textId="77777777" w:rsidR="00DE25BA" w:rsidRPr="00BD08D3" w:rsidRDefault="00DE25BA" w:rsidP="005E7B33">
            <w:pPr>
              <w:pStyle w:val="ListParagraph"/>
              <w:ind w:left="0"/>
            </w:pPr>
            <w:r w:rsidRPr="00BD08D3">
              <w:t>Community Action of Skagit County</w:t>
            </w:r>
            <w:r>
              <w:t xml:space="preserve"> (SCCAA)</w:t>
            </w:r>
          </w:p>
        </w:tc>
        <w:tc>
          <w:tcPr>
            <w:tcW w:w="4950" w:type="dxa"/>
          </w:tcPr>
          <w:p w14:paraId="6CF17192" w14:textId="77777777" w:rsidR="00DE25BA" w:rsidRPr="00BD08D3" w:rsidRDefault="00DE25BA" w:rsidP="005E7B33">
            <w:pPr>
              <w:pStyle w:val="ListParagraph"/>
              <w:ind w:left="0"/>
              <w:rPr>
                <w:rFonts w:eastAsia="Times New Roman"/>
              </w:rPr>
            </w:pPr>
            <w:r w:rsidRPr="00BD08D3">
              <w:rPr>
                <w:rFonts w:eastAsia="Times New Roman"/>
              </w:rPr>
              <w:t>Misty Velasquez</w:t>
            </w:r>
          </w:p>
        </w:tc>
      </w:tr>
      <w:tr w:rsidR="00DE25BA" w:rsidRPr="00BD08D3" w14:paraId="317E1DB1" w14:textId="77777777" w:rsidTr="005E7B33">
        <w:trPr>
          <w:jc w:val="center"/>
        </w:trPr>
        <w:tc>
          <w:tcPr>
            <w:tcW w:w="5400" w:type="dxa"/>
          </w:tcPr>
          <w:p w14:paraId="3D8B2DD2" w14:textId="77777777" w:rsidR="00DE25BA" w:rsidRPr="00BD08D3" w:rsidRDefault="00DE25BA" w:rsidP="005E7B33">
            <w:pPr>
              <w:pStyle w:val="ListParagraph"/>
              <w:ind w:left="0"/>
            </w:pPr>
            <w:r w:rsidRPr="00BD08D3">
              <w:t>Snohomish County Human Services Dept</w:t>
            </w:r>
            <w:r>
              <w:t xml:space="preserve"> (SCEAP)</w:t>
            </w:r>
          </w:p>
        </w:tc>
        <w:tc>
          <w:tcPr>
            <w:tcW w:w="4950" w:type="dxa"/>
          </w:tcPr>
          <w:p w14:paraId="1F699B78" w14:textId="77777777" w:rsidR="00DE25BA" w:rsidRPr="00BD08D3" w:rsidRDefault="00DE25BA" w:rsidP="005E7B33">
            <w:pPr>
              <w:pStyle w:val="ListParagraph"/>
              <w:ind w:left="0"/>
              <w:rPr>
                <w:rFonts w:eastAsia="Times New Roman"/>
              </w:rPr>
            </w:pPr>
            <w:r>
              <w:rPr>
                <w:rFonts w:eastAsia="Times New Roman"/>
              </w:rPr>
              <w:t>Constance Hockett, Traci Baugh</w:t>
            </w:r>
          </w:p>
        </w:tc>
      </w:tr>
      <w:tr w:rsidR="00DE25BA" w:rsidRPr="008D60BE" w14:paraId="6CC37784" w14:textId="77777777" w:rsidTr="005E7B33">
        <w:trPr>
          <w:jc w:val="center"/>
        </w:trPr>
        <w:tc>
          <w:tcPr>
            <w:tcW w:w="5400" w:type="dxa"/>
            <w:shd w:val="clear" w:color="auto" w:fill="auto"/>
          </w:tcPr>
          <w:p w14:paraId="4E45D3A3" w14:textId="77777777" w:rsidR="00DE25BA" w:rsidRPr="008D60BE" w:rsidRDefault="00DE25BA" w:rsidP="005E7B33">
            <w:pPr>
              <w:pStyle w:val="ListParagraph"/>
              <w:ind w:left="0"/>
              <w:rPr>
                <w:bCs/>
              </w:rPr>
            </w:pPr>
            <w:r w:rsidRPr="008D60BE">
              <w:rPr>
                <w:bCs/>
              </w:rPr>
              <w:t>WUTC Staff</w:t>
            </w:r>
          </w:p>
        </w:tc>
        <w:tc>
          <w:tcPr>
            <w:tcW w:w="4950" w:type="dxa"/>
            <w:shd w:val="clear" w:color="auto" w:fill="auto"/>
          </w:tcPr>
          <w:p w14:paraId="67D4E0DD" w14:textId="77777777" w:rsidR="00DE25BA" w:rsidRPr="008D60BE" w:rsidRDefault="00DE25BA" w:rsidP="005E7B33">
            <w:pPr>
              <w:pStyle w:val="ListParagraph"/>
              <w:ind w:left="0"/>
              <w:rPr>
                <w:bCs/>
              </w:rPr>
            </w:pPr>
            <w:r w:rsidRPr="008D60BE">
              <w:rPr>
                <w:bCs/>
              </w:rPr>
              <w:t>Andrew Roberts, Andy Sellards</w:t>
            </w:r>
            <w:r>
              <w:rPr>
                <w:bCs/>
              </w:rPr>
              <w:t>, Corey Cook, Jacque Hawkins-Jones, Keith Quinata</w:t>
            </w:r>
          </w:p>
        </w:tc>
      </w:tr>
      <w:tr w:rsidR="00DE25BA" w:rsidRPr="008D60BE" w14:paraId="1B21190F" w14:textId="77777777" w:rsidTr="005E7B33">
        <w:trPr>
          <w:jc w:val="center"/>
        </w:trPr>
        <w:tc>
          <w:tcPr>
            <w:tcW w:w="5400" w:type="dxa"/>
            <w:shd w:val="clear" w:color="auto" w:fill="auto"/>
          </w:tcPr>
          <w:p w14:paraId="21CCFF1D" w14:textId="77777777" w:rsidR="00DE25BA" w:rsidRPr="008D60BE" w:rsidRDefault="00DE25BA" w:rsidP="005E7B33">
            <w:pPr>
              <w:pStyle w:val="ListParagraph"/>
              <w:ind w:left="0"/>
              <w:rPr>
                <w:bCs/>
              </w:rPr>
            </w:pPr>
            <w:r w:rsidRPr="008D60BE">
              <w:rPr>
                <w:bCs/>
              </w:rPr>
              <w:t>The Energy Project</w:t>
            </w:r>
          </w:p>
        </w:tc>
        <w:tc>
          <w:tcPr>
            <w:tcW w:w="4950" w:type="dxa"/>
            <w:shd w:val="clear" w:color="auto" w:fill="auto"/>
          </w:tcPr>
          <w:p w14:paraId="5063AE43" w14:textId="77777777" w:rsidR="00DE25BA" w:rsidRPr="008D60BE" w:rsidRDefault="00DE25BA" w:rsidP="005E7B33">
            <w:pPr>
              <w:pStyle w:val="ListParagraph"/>
              <w:ind w:left="0"/>
              <w:rPr>
                <w:bCs/>
              </w:rPr>
            </w:pPr>
            <w:r>
              <w:rPr>
                <w:bCs/>
              </w:rPr>
              <w:t>Shaylee Stokes</w:t>
            </w:r>
          </w:p>
        </w:tc>
      </w:tr>
      <w:tr w:rsidR="00DE25BA" w:rsidRPr="008D60BE" w14:paraId="44B7FB75" w14:textId="77777777" w:rsidTr="005E7B33">
        <w:trPr>
          <w:jc w:val="center"/>
        </w:trPr>
        <w:tc>
          <w:tcPr>
            <w:tcW w:w="5400" w:type="dxa"/>
            <w:shd w:val="clear" w:color="auto" w:fill="auto"/>
          </w:tcPr>
          <w:p w14:paraId="5FCB0A52" w14:textId="77777777" w:rsidR="00DE25BA" w:rsidRPr="008D60BE" w:rsidRDefault="00DE25BA" w:rsidP="005E7B33">
            <w:pPr>
              <w:pStyle w:val="ListParagraph"/>
              <w:ind w:left="0"/>
              <w:rPr>
                <w:bCs/>
              </w:rPr>
            </w:pPr>
            <w:r w:rsidRPr="008D60BE">
              <w:rPr>
                <w:bCs/>
              </w:rPr>
              <w:t>Public Counsel</w:t>
            </w:r>
          </w:p>
        </w:tc>
        <w:tc>
          <w:tcPr>
            <w:tcW w:w="4950" w:type="dxa"/>
            <w:shd w:val="clear" w:color="auto" w:fill="auto"/>
          </w:tcPr>
          <w:p w14:paraId="0B57DCA2" w14:textId="29F74EA8" w:rsidR="00DE25BA" w:rsidRPr="008D60BE" w:rsidRDefault="00103092" w:rsidP="005E7B33">
            <w:pPr>
              <w:pStyle w:val="ListParagraph"/>
              <w:ind w:left="0"/>
              <w:rPr>
                <w:bCs/>
              </w:rPr>
            </w:pPr>
            <w:r>
              <w:rPr>
                <w:bCs/>
              </w:rPr>
              <w:t>Kai Hiatt</w:t>
            </w:r>
          </w:p>
        </w:tc>
      </w:tr>
      <w:tr w:rsidR="00DE25BA" w:rsidRPr="008D60BE" w14:paraId="4302B46C" w14:textId="77777777" w:rsidTr="005E7B33">
        <w:trPr>
          <w:jc w:val="center"/>
        </w:trPr>
        <w:tc>
          <w:tcPr>
            <w:tcW w:w="5400" w:type="dxa"/>
            <w:shd w:val="clear" w:color="auto" w:fill="auto"/>
          </w:tcPr>
          <w:p w14:paraId="613691B7" w14:textId="77777777" w:rsidR="00DE25BA" w:rsidRPr="008D60BE" w:rsidRDefault="00DE25BA" w:rsidP="005E7B33">
            <w:pPr>
              <w:pStyle w:val="ListParagraph"/>
              <w:ind w:left="0"/>
              <w:rPr>
                <w:bCs/>
              </w:rPr>
            </w:pPr>
            <w:r w:rsidRPr="008D60BE">
              <w:rPr>
                <w:bCs/>
              </w:rPr>
              <w:t>NW Energy Coalition</w:t>
            </w:r>
          </w:p>
        </w:tc>
        <w:tc>
          <w:tcPr>
            <w:tcW w:w="4950" w:type="dxa"/>
            <w:shd w:val="clear" w:color="auto" w:fill="auto"/>
          </w:tcPr>
          <w:p w14:paraId="05810DFF" w14:textId="77777777" w:rsidR="00DE25BA" w:rsidRPr="008D60BE" w:rsidRDefault="00DE25BA" w:rsidP="005E7B33">
            <w:pPr>
              <w:pStyle w:val="ListParagraph"/>
              <w:ind w:left="0"/>
              <w:rPr>
                <w:bCs/>
              </w:rPr>
            </w:pPr>
            <w:r w:rsidRPr="008D60BE">
              <w:rPr>
                <w:bCs/>
              </w:rPr>
              <w:t>Charlee Thompson</w:t>
            </w:r>
          </w:p>
        </w:tc>
      </w:tr>
      <w:tr w:rsidR="00DE25BA" w:rsidRPr="008D60BE" w14:paraId="7B6C7201" w14:textId="77777777" w:rsidTr="005E7B33">
        <w:trPr>
          <w:jc w:val="center"/>
        </w:trPr>
        <w:tc>
          <w:tcPr>
            <w:tcW w:w="5400" w:type="dxa"/>
            <w:tcBorders>
              <w:bottom w:val="single" w:sz="4" w:space="0" w:color="auto"/>
            </w:tcBorders>
            <w:shd w:val="clear" w:color="auto" w:fill="auto"/>
          </w:tcPr>
          <w:p w14:paraId="59D06355" w14:textId="77777777" w:rsidR="00DE25BA" w:rsidRPr="008D60BE" w:rsidRDefault="00DE25BA" w:rsidP="005E7B33">
            <w:pPr>
              <w:pStyle w:val="ListParagraph"/>
              <w:ind w:left="0"/>
              <w:rPr>
                <w:bCs/>
              </w:rPr>
            </w:pPr>
            <w:r w:rsidRPr="008D60BE">
              <w:rPr>
                <w:bCs/>
              </w:rPr>
              <w:t>Department of Commerce</w:t>
            </w:r>
          </w:p>
        </w:tc>
        <w:tc>
          <w:tcPr>
            <w:tcW w:w="4950" w:type="dxa"/>
            <w:tcBorders>
              <w:bottom w:val="single" w:sz="4" w:space="0" w:color="auto"/>
            </w:tcBorders>
            <w:shd w:val="clear" w:color="auto" w:fill="auto"/>
          </w:tcPr>
          <w:p w14:paraId="2A7F9463" w14:textId="77777777" w:rsidR="00DE25BA" w:rsidRPr="008D60BE" w:rsidRDefault="00DE25BA" w:rsidP="005E7B33">
            <w:pPr>
              <w:pStyle w:val="ListParagraph"/>
              <w:ind w:left="0"/>
              <w:rPr>
                <w:bCs/>
              </w:rPr>
            </w:pPr>
            <w:r w:rsidRPr="008D60BE">
              <w:rPr>
                <w:bCs/>
              </w:rPr>
              <w:t>Michelle DeBell</w:t>
            </w:r>
          </w:p>
        </w:tc>
      </w:tr>
      <w:tr w:rsidR="00DE25BA" w:rsidRPr="008D60BE" w14:paraId="456CA980" w14:textId="77777777" w:rsidTr="005E7B33">
        <w:trPr>
          <w:jc w:val="center"/>
        </w:trPr>
        <w:tc>
          <w:tcPr>
            <w:tcW w:w="5400" w:type="dxa"/>
            <w:tcBorders>
              <w:right w:val="nil"/>
            </w:tcBorders>
            <w:shd w:val="clear" w:color="auto" w:fill="D9D9D9" w:themeFill="background1" w:themeFillShade="D9"/>
          </w:tcPr>
          <w:p w14:paraId="0A5E7A9D" w14:textId="77777777" w:rsidR="00DE25BA" w:rsidRPr="008D60BE" w:rsidRDefault="00DE25BA" w:rsidP="005E7B33">
            <w:pPr>
              <w:pStyle w:val="ListParagraph"/>
              <w:ind w:left="0"/>
              <w:rPr>
                <w:b/>
              </w:rPr>
            </w:pPr>
            <w:r w:rsidRPr="008D60BE">
              <w:rPr>
                <w:b/>
              </w:rPr>
              <w:t>Cascade Natural Gas</w:t>
            </w:r>
          </w:p>
        </w:tc>
        <w:tc>
          <w:tcPr>
            <w:tcW w:w="4950" w:type="dxa"/>
            <w:tcBorders>
              <w:left w:val="nil"/>
            </w:tcBorders>
            <w:shd w:val="clear" w:color="auto" w:fill="D9D9D9" w:themeFill="background1" w:themeFillShade="D9"/>
          </w:tcPr>
          <w:p w14:paraId="6592A263" w14:textId="77777777" w:rsidR="00DE25BA" w:rsidRPr="008D60BE" w:rsidRDefault="00DE25BA" w:rsidP="005E7B33">
            <w:pPr>
              <w:pStyle w:val="ListParagraph"/>
              <w:ind w:left="0"/>
              <w:rPr>
                <w:b/>
              </w:rPr>
            </w:pPr>
          </w:p>
        </w:tc>
      </w:tr>
      <w:tr w:rsidR="00DE25BA" w:rsidRPr="00BD08D3" w14:paraId="2CD76265" w14:textId="77777777" w:rsidTr="005E7B33">
        <w:trPr>
          <w:jc w:val="center"/>
        </w:trPr>
        <w:tc>
          <w:tcPr>
            <w:tcW w:w="5400" w:type="dxa"/>
          </w:tcPr>
          <w:p w14:paraId="74AF5ECD" w14:textId="439D6C32" w:rsidR="00DE25BA" w:rsidRPr="00BD08D3" w:rsidRDefault="0027706A" w:rsidP="005E7B33">
            <w:pPr>
              <w:pStyle w:val="ListParagraph"/>
              <w:ind w:left="0"/>
            </w:pPr>
            <w:r w:rsidRPr="00BD08D3">
              <w:t xml:space="preserve">Dan Tillis, Dir Customer </w:t>
            </w:r>
            <w:r>
              <w:t>Experience</w:t>
            </w:r>
          </w:p>
        </w:tc>
        <w:tc>
          <w:tcPr>
            <w:tcW w:w="4950" w:type="dxa"/>
            <w:tcBorders>
              <w:bottom w:val="single" w:sz="4" w:space="0" w:color="auto"/>
            </w:tcBorders>
          </w:tcPr>
          <w:p w14:paraId="06D4CD5F" w14:textId="77777777" w:rsidR="00DE25BA" w:rsidRPr="00BD08D3" w:rsidRDefault="00DE25BA" w:rsidP="005E7B33">
            <w:pPr>
              <w:pStyle w:val="ListParagraph"/>
              <w:ind w:left="0"/>
            </w:pPr>
            <w:r>
              <w:t>Lori Blattner, Dir Regulatory Affairs</w:t>
            </w:r>
          </w:p>
        </w:tc>
      </w:tr>
      <w:tr w:rsidR="0027706A" w:rsidRPr="00BD08D3" w14:paraId="42B35EB3" w14:textId="77777777" w:rsidTr="005E7B33">
        <w:trPr>
          <w:jc w:val="center"/>
        </w:trPr>
        <w:tc>
          <w:tcPr>
            <w:tcW w:w="5400" w:type="dxa"/>
          </w:tcPr>
          <w:p w14:paraId="5DE68EF6" w14:textId="7B3E443B" w:rsidR="0027706A" w:rsidRPr="00BD08D3" w:rsidRDefault="0027706A" w:rsidP="0027706A">
            <w:pPr>
              <w:pStyle w:val="ListParagraph"/>
              <w:ind w:left="0"/>
              <w:rPr>
                <w:b/>
              </w:rPr>
            </w:pPr>
            <w:r>
              <w:t>Teri Sovak, Mgr Customer Service, Credit &amp; Collections</w:t>
            </w:r>
          </w:p>
        </w:tc>
        <w:tc>
          <w:tcPr>
            <w:tcW w:w="4950" w:type="dxa"/>
            <w:tcBorders>
              <w:bottom w:val="single" w:sz="4" w:space="0" w:color="auto"/>
            </w:tcBorders>
          </w:tcPr>
          <w:p w14:paraId="71075E23" w14:textId="77777777" w:rsidR="0027706A" w:rsidRPr="00BD08D3" w:rsidRDefault="0027706A" w:rsidP="0027706A">
            <w:pPr>
              <w:pStyle w:val="ListParagraph"/>
              <w:ind w:left="0"/>
            </w:pPr>
            <w:r>
              <w:t>Noemi Ortiz, Mgr OR Conservation &amp; Weatherization</w:t>
            </w:r>
          </w:p>
        </w:tc>
      </w:tr>
      <w:tr w:rsidR="0027706A" w:rsidRPr="00BD08D3" w14:paraId="6A78CB82" w14:textId="77777777" w:rsidTr="005E7B33">
        <w:trPr>
          <w:jc w:val="center"/>
        </w:trPr>
        <w:tc>
          <w:tcPr>
            <w:tcW w:w="5400" w:type="dxa"/>
          </w:tcPr>
          <w:p w14:paraId="7644C7C6" w14:textId="5F164315" w:rsidR="0027706A" w:rsidRPr="00BD08D3" w:rsidRDefault="0027706A" w:rsidP="0027706A">
            <w:pPr>
              <w:pStyle w:val="ListParagraph"/>
              <w:ind w:left="0"/>
            </w:pPr>
            <w:r w:rsidRPr="00BD08D3">
              <w:rPr>
                <w:bCs/>
              </w:rPr>
              <w:t>Shannon Steed, Consumer Specialist</w:t>
            </w:r>
          </w:p>
        </w:tc>
        <w:tc>
          <w:tcPr>
            <w:tcW w:w="4950" w:type="dxa"/>
            <w:shd w:val="clear" w:color="auto" w:fill="auto"/>
          </w:tcPr>
          <w:p w14:paraId="47B0F376" w14:textId="77777777" w:rsidR="0027706A" w:rsidRPr="00BD08D3" w:rsidRDefault="0027706A" w:rsidP="0027706A">
            <w:pPr>
              <w:pStyle w:val="ListParagraph"/>
              <w:ind w:left="0"/>
            </w:pPr>
            <w:r>
              <w:t>Jennifer Gross, Regulatory Analyst</w:t>
            </w:r>
          </w:p>
        </w:tc>
      </w:tr>
      <w:tr w:rsidR="00CB7909" w:rsidRPr="00BD08D3" w14:paraId="7254253A" w14:textId="77777777" w:rsidTr="005E7B33">
        <w:trPr>
          <w:jc w:val="center"/>
        </w:trPr>
        <w:tc>
          <w:tcPr>
            <w:tcW w:w="5400" w:type="dxa"/>
          </w:tcPr>
          <w:p w14:paraId="4B1A82E2" w14:textId="3FC46FCC" w:rsidR="00CB7909" w:rsidRPr="00BD08D3" w:rsidRDefault="00CB7909" w:rsidP="0027706A">
            <w:pPr>
              <w:pStyle w:val="ListParagraph"/>
              <w:ind w:left="0"/>
              <w:rPr>
                <w:bCs/>
              </w:rPr>
            </w:pPr>
            <w:r>
              <w:rPr>
                <w:bCs/>
              </w:rPr>
              <w:t>Rodney Fowler, Business Analyst</w:t>
            </w:r>
          </w:p>
        </w:tc>
        <w:tc>
          <w:tcPr>
            <w:tcW w:w="4950" w:type="dxa"/>
            <w:shd w:val="clear" w:color="auto" w:fill="auto"/>
          </w:tcPr>
          <w:p w14:paraId="531BF35D" w14:textId="77777777" w:rsidR="00CB7909" w:rsidRDefault="00CB7909" w:rsidP="0027706A">
            <w:pPr>
              <w:pStyle w:val="ListParagraph"/>
              <w:ind w:left="0"/>
            </w:pPr>
          </w:p>
        </w:tc>
      </w:tr>
    </w:tbl>
    <w:p w14:paraId="3D75582D" w14:textId="77777777" w:rsidR="00A9204E" w:rsidRDefault="00A9204E"/>
    <w:p w14:paraId="166CF340" w14:textId="061A1254" w:rsidR="00217FA6" w:rsidRDefault="00217FA6" w:rsidP="001C2942">
      <w:pPr>
        <w:pStyle w:val="ListParagraph"/>
        <w:numPr>
          <w:ilvl w:val="0"/>
          <w:numId w:val="25"/>
        </w:numPr>
      </w:pPr>
      <w:r>
        <w:t>Follow</w:t>
      </w:r>
      <w:r w:rsidR="0013148E">
        <w:t>-</w:t>
      </w:r>
      <w:r>
        <w:t xml:space="preserve">up items from </w:t>
      </w:r>
      <w:r w:rsidR="009433BB">
        <w:t xml:space="preserve">the </w:t>
      </w:r>
      <w:r>
        <w:t>April</w:t>
      </w:r>
      <w:r w:rsidR="009433BB">
        <w:t xml:space="preserve"> meeting</w:t>
      </w:r>
      <w:r>
        <w:t>:</w:t>
      </w:r>
      <w:r>
        <w:tab/>
      </w:r>
    </w:p>
    <w:p w14:paraId="3B794E0F" w14:textId="3D423ED9" w:rsidR="00217FA6" w:rsidRDefault="003F2352" w:rsidP="00217FA6">
      <w:pPr>
        <w:pStyle w:val="ListParagraph"/>
        <w:numPr>
          <w:ilvl w:val="1"/>
          <w:numId w:val="25"/>
        </w:numPr>
      </w:pPr>
      <w:r>
        <w:t xml:space="preserve">CARES administrative agreement amendment for PEV has been distributed to agencies, and all have been signed and returned to Cascade except for </w:t>
      </w:r>
      <w:r w:rsidR="00FE1B5F">
        <w:t>one which is</w:t>
      </w:r>
      <w:r>
        <w:t xml:space="preserve"> still in progress.</w:t>
      </w:r>
    </w:p>
    <w:p w14:paraId="5FF282D1" w14:textId="30536440" w:rsidR="003F2352" w:rsidRDefault="003F2352" w:rsidP="00217FA6">
      <w:pPr>
        <w:pStyle w:val="ListParagraph"/>
        <w:numPr>
          <w:ilvl w:val="1"/>
          <w:numId w:val="25"/>
        </w:numPr>
      </w:pPr>
      <w:r>
        <w:t>LIHEAP calculation method (Shay)</w:t>
      </w:r>
    </w:p>
    <w:p w14:paraId="140B3682" w14:textId="31549F38" w:rsidR="001C2942" w:rsidRDefault="001C2942" w:rsidP="001C2942">
      <w:pPr>
        <w:pStyle w:val="ListParagraph"/>
        <w:numPr>
          <w:ilvl w:val="0"/>
          <w:numId w:val="25"/>
        </w:numPr>
      </w:pPr>
      <w:r>
        <w:t>Language access plan</w:t>
      </w:r>
      <w:r w:rsidR="0032371D">
        <w:t xml:space="preserve"> </w:t>
      </w:r>
      <w:r w:rsidR="00FD0FAD">
        <w:t xml:space="preserve">development </w:t>
      </w:r>
      <w:r w:rsidR="0032371D">
        <w:t>(Empower Dataworks)</w:t>
      </w:r>
    </w:p>
    <w:p w14:paraId="4490D863" w14:textId="07F036D8" w:rsidR="00FE1B5F" w:rsidRDefault="00FE1B5F" w:rsidP="001C2942">
      <w:pPr>
        <w:pStyle w:val="ListParagraph"/>
        <w:numPr>
          <w:ilvl w:val="0"/>
          <w:numId w:val="25"/>
        </w:numPr>
      </w:pPr>
      <w:r>
        <w:t>Q1 CBO report presentations by agencies</w:t>
      </w:r>
    </w:p>
    <w:p w14:paraId="7B5F251C" w14:textId="12D9EED8" w:rsidR="00E420AC" w:rsidRDefault="00E420AC" w:rsidP="00E420AC">
      <w:pPr>
        <w:pStyle w:val="ListParagraph"/>
        <w:numPr>
          <w:ilvl w:val="0"/>
          <w:numId w:val="25"/>
        </w:numPr>
      </w:pPr>
      <w:r>
        <w:t>Open Discussion</w:t>
      </w:r>
    </w:p>
    <w:p w14:paraId="725B43FD" w14:textId="77777777" w:rsidR="007708CF" w:rsidRDefault="007708CF" w:rsidP="007708CF"/>
    <w:p w14:paraId="5DA9EE39" w14:textId="77777777" w:rsidR="007708CF" w:rsidRPr="007708CF" w:rsidRDefault="007708CF" w:rsidP="007708CF">
      <w:r w:rsidRPr="007708CF">
        <w:t>Meeting notes:</w:t>
      </w:r>
    </w:p>
    <w:p w14:paraId="5B24EE1A" w14:textId="3C459AD6" w:rsidR="007708CF" w:rsidRPr="007708CF" w:rsidRDefault="007708CF" w:rsidP="007708CF">
      <w:pPr>
        <w:numPr>
          <w:ilvl w:val="0"/>
          <w:numId w:val="27"/>
        </w:numPr>
      </w:pPr>
      <w:r w:rsidRPr="007708CF">
        <w:rPr>
          <w:b/>
          <w:bCs/>
        </w:rPr>
        <w:t xml:space="preserve">Post Enrollment Verification Process: </w:t>
      </w:r>
      <w:r w:rsidRPr="007708CF">
        <w:t>Dan and Shannon discussed the status of amendments for the post enrollment verification process. Shannon confirmed that one amendment is still pending.</w:t>
      </w:r>
    </w:p>
    <w:p w14:paraId="32CF3CC7" w14:textId="77777777" w:rsidR="007708CF" w:rsidRPr="007708CF" w:rsidRDefault="007708CF" w:rsidP="007708CF">
      <w:pPr>
        <w:numPr>
          <w:ilvl w:val="0"/>
          <w:numId w:val="27"/>
        </w:numPr>
      </w:pPr>
      <w:r w:rsidRPr="007708CF">
        <w:rPr>
          <w:b/>
          <w:bCs/>
        </w:rPr>
        <w:t xml:space="preserve">LIHEAP Calculation Method: </w:t>
      </w:r>
      <w:r w:rsidRPr="007708CF">
        <w:t>Shaylee provided updates on the LIHEAP calculation method discussed in the last meeting. They mentioned two options to solve the problem and the group's preference to make changes at the beginning of a new program year.</w:t>
      </w:r>
    </w:p>
    <w:p w14:paraId="535B7642" w14:textId="5551D843" w:rsidR="007708CF" w:rsidRPr="007708CF" w:rsidRDefault="007708CF" w:rsidP="007708CF">
      <w:pPr>
        <w:numPr>
          <w:ilvl w:val="0"/>
          <w:numId w:val="27"/>
        </w:numPr>
      </w:pPr>
      <w:r w:rsidRPr="007708CF">
        <w:rPr>
          <w:b/>
          <w:bCs/>
        </w:rPr>
        <w:t xml:space="preserve">Language Access Plan: </w:t>
      </w:r>
      <w:r w:rsidRPr="007708CF">
        <w:t>Dan introduced Hassan Shaban from Empower Dataworks to discuss the language access plan. Hassan presented the plan's approach and gathered feedback from the group.</w:t>
      </w:r>
    </w:p>
    <w:p w14:paraId="76D4A541" w14:textId="77777777" w:rsidR="007708CF" w:rsidRPr="007708CF" w:rsidRDefault="007708CF" w:rsidP="007708CF">
      <w:pPr>
        <w:numPr>
          <w:ilvl w:val="0"/>
          <w:numId w:val="27"/>
        </w:numPr>
      </w:pPr>
      <w:r w:rsidRPr="007708CF">
        <w:rPr>
          <w:b/>
          <w:bCs/>
        </w:rPr>
        <w:t xml:space="preserve">Language Access Plan Approach: </w:t>
      </w:r>
      <w:r w:rsidRPr="007708CF">
        <w:t>Hassan explained the four phases of the language access plan, including gathering data, evaluating existing services, conducting a gap analysis, and developing action items.</w:t>
      </w:r>
    </w:p>
    <w:p w14:paraId="56D4A24D" w14:textId="77777777" w:rsidR="007708CF" w:rsidRPr="007708CF" w:rsidRDefault="007708CF" w:rsidP="007708CF">
      <w:pPr>
        <w:numPr>
          <w:ilvl w:val="0"/>
          <w:numId w:val="27"/>
        </w:numPr>
      </w:pPr>
      <w:r w:rsidRPr="007708CF">
        <w:rPr>
          <w:b/>
          <w:bCs/>
        </w:rPr>
        <w:t xml:space="preserve">Community-Based Organization Reports: </w:t>
      </w:r>
      <w:r w:rsidRPr="007708CF">
        <w:t>Jennifer led the discussion on Q1 CBO reports, with Sylvia, Jose, and Melissa presenting their outreach activities and results.</w:t>
      </w:r>
    </w:p>
    <w:p w14:paraId="36634F32" w14:textId="77777777" w:rsidR="007708CF" w:rsidRPr="007708CF" w:rsidRDefault="007708CF" w:rsidP="007708CF">
      <w:pPr>
        <w:numPr>
          <w:ilvl w:val="0"/>
          <w:numId w:val="27"/>
        </w:numPr>
      </w:pPr>
      <w:r w:rsidRPr="007708CF">
        <w:rPr>
          <w:b/>
          <w:bCs/>
        </w:rPr>
        <w:t xml:space="preserve">Summer Outreach Events: </w:t>
      </w:r>
      <w:r w:rsidRPr="007708CF">
        <w:t>Melissa shared plans for summer outreach events, including back-to-school events, senior day in the park, and other community events.</w:t>
      </w:r>
    </w:p>
    <w:p w14:paraId="1AE2083C" w14:textId="6956299F" w:rsidR="007708CF" w:rsidRPr="007708CF" w:rsidRDefault="007708CF" w:rsidP="007708CF">
      <w:pPr>
        <w:numPr>
          <w:ilvl w:val="0"/>
          <w:numId w:val="27"/>
        </w:numPr>
      </w:pPr>
      <w:r w:rsidRPr="007708CF">
        <w:rPr>
          <w:b/>
          <w:bCs/>
        </w:rPr>
        <w:t xml:space="preserve">Blast Point Implementation: </w:t>
      </w:r>
      <w:r w:rsidRPr="007708CF">
        <w:t>Dan provided an update on the implementation of BlastPoint's machine learning platform to identify customers with a propensity for energy assistance programs.</w:t>
      </w:r>
    </w:p>
    <w:p w14:paraId="78122B3A" w14:textId="77777777" w:rsidR="008562D8" w:rsidRDefault="008562D8" w:rsidP="007708CF"/>
    <w:p w14:paraId="6C629BD1" w14:textId="44C5EC97" w:rsidR="007708CF" w:rsidRPr="007708CF" w:rsidRDefault="007708CF" w:rsidP="007708CF">
      <w:r w:rsidRPr="007708CF">
        <w:t>Follow-up tasks:</w:t>
      </w:r>
    </w:p>
    <w:p w14:paraId="18FBA31F" w14:textId="77777777" w:rsidR="007708CF" w:rsidRPr="007708CF" w:rsidRDefault="007708CF" w:rsidP="007708CF">
      <w:pPr>
        <w:numPr>
          <w:ilvl w:val="0"/>
          <w:numId w:val="28"/>
        </w:numPr>
      </w:pPr>
      <w:r w:rsidRPr="007708CF">
        <w:rPr>
          <w:b/>
          <w:bCs/>
        </w:rPr>
        <w:t xml:space="preserve">LIHEAP Calculation Method: </w:t>
      </w:r>
      <w:r w:rsidRPr="007708CF">
        <w:t>Connect with Brian Sarenson to discuss the LIHEAP calculation method and provide updates to the group. (Shaylee)</w:t>
      </w:r>
    </w:p>
    <w:p w14:paraId="08AD90DD" w14:textId="2987B91E" w:rsidR="007708CF" w:rsidRPr="007708CF" w:rsidRDefault="007708CF" w:rsidP="007708CF">
      <w:pPr>
        <w:numPr>
          <w:ilvl w:val="0"/>
          <w:numId w:val="28"/>
        </w:numPr>
      </w:pPr>
      <w:r w:rsidRPr="007708CF">
        <w:rPr>
          <w:b/>
          <w:bCs/>
        </w:rPr>
        <w:t xml:space="preserve">Pre-discounted Billing History: </w:t>
      </w:r>
      <w:r w:rsidRPr="007708CF">
        <w:t>Keep the ticket for adding a column in the billing history view for pre-discounted usage and provide updates on the timeline. (Dan)</w:t>
      </w:r>
    </w:p>
    <w:p w14:paraId="059B3565" w14:textId="0C50A4E3" w:rsidR="007708CF" w:rsidRPr="007708CF" w:rsidRDefault="007708CF" w:rsidP="007708CF">
      <w:pPr>
        <w:numPr>
          <w:ilvl w:val="0"/>
          <w:numId w:val="28"/>
        </w:numPr>
      </w:pPr>
      <w:r w:rsidRPr="007708CF">
        <w:rPr>
          <w:b/>
          <w:bCs/>
        </w:rPr>
        <w:t xml:space="preserve">Language Access Plan Data: </w:t>
      </w:r>
      <w:r w:rsidRPr="007708CF">
        <w:t>Email Hassan and Dan with any available data on client languages from the agencies. (Melissa)</w:t>
      </w:r>
    </w:p>
    <w:p w14:paraId="2E5C25A1" w14:textId="56D56D25" w:rsidR="007708CF" w:rsidRPr="007708CF" w:rsidRDefault="007708CF" w:rsidP="007708CF">
      <w:pPr>
        <w:numPr>
          <w:ilvl w:val="0"/>
          <w:numId w:val="28"/>
        </w:numPr>
      </w:pPr>
      <w:r w:rsidRPr="007708CF">
        <w:rPr>
          <w:b/>
          <w:bCs/>
        </w:rPr>
        <w:t xml:space="preserve">Language Access Plan Data: </w:t>
      </w:r>
      <w:r w:rsidRPr="007708CF">
        <w:t xml:space="preserve">Send </w:t>
      </w:r>
      <w:r w:rsidR="006A29CE" w:rsidRPr="007708CF">
        <w:t>P</w:t>
      </w:r>
      <w:r w:rsidR="006A29CE">
        <w:t>acifiCorp’</w:t>
      </w:r>
      <w:r w:rsidR="006A29CE" w:rsidRPr="007708CF">
        <w:t xml:space="preserve">s </w:t>
      </w:r>
      <w:r w:rsidRPr="007708CF">
        <w:t>language access plan to Hassan. (Shaylee)</w:t>
      </w:r>
    </w:p>
    <w:p w14:paraId="201C6556" w14:textId="77777777" w:rsidR="007708CF" w:rsidRPr="007708CF" w:rsidRDefault="007708CF" w:rsidP="007708CF">
      <w:pPr>
        <w:numPr>
          <w:ilvl w:val="0"/>
          <w:numId w:val="28"/>
        </w:numPr>
      </w:pPr>
      <w:r w:rsidRPr="007708CF">
        <w:rPr>
          <w:b/>
          <w:bCs/>
        </w:rPr>
        <w:t xml:space="preserve">Outreach Event Giveaways: </w:t>
      </w:r>
      <w:r w:rsidRPr="007708CF">
        <w:t>Respond to Shannon's email regarding the types of giveaway items needed for outreach events. (All Agencies)</w:t>
      </w:r>
    </w:p>
    <w:p w14:paraId="4584F6B4" w14:textId="77777777" w:rsidR="007708CF" w:rsidRDefault="007708CF" w:rsidP="007708CF"/>
    <w:sectPr w:rsidR="007708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7431C07"/>
    <w:multiLevelType w:val="multilevel"/>
    <w:tmpl w:val="01381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88C1321"/>
    <w:multiLevelType w:val="hybridMultilevel"/>
    <w:tmpl w:val="4578873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1743695"/>
    <w:multiLevelType w:val="hybridMultilevel"/>
    <w:tmpl w:val="0CB4BAD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A043AB3"/>
    <w:multiLevelType w:val="multilevel"/>
    <w:tmpl w:val="27C8A4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7F1A51A8"/>
    <w:multiLevelType w:val="hybridMultilevel"/>
    <w:tmpl w:val="D31A38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8177554">
    <w:abstractNumId w:val="20"/>
  </w:num>
  <w:num w:numId="2" w16cid:durableId="622033251">
    <w:abstractNumId w:val="12"/>
  </w:num>
  <w:num w:numId="3" w16cid:durableId="39668940">
    <w:abstractNumId w:val="10"/>
  </w:num>
  <w:num w:numId="4" w16cid:durableId="1947274757">
    <w:abstractNumId w:val="23"/>
  </w:num>
  <w:num w:numId="5" w16cid:durableId="359549631">
    <w:abstractNumId w:val="13"/>
  </w:num>
  <w:num w:numId="6" w16cid:durableId="896285323">
    <w:abstractNumId w:val="17"/>
  </w:num>
  <w:num w:numId="7" w16cid:durableId="829102100">
    <w:abstractNumId w:val="19"/>
  </w:num>
  <w:num w:numId="8" w16cid:durableId="45372011">
    <w:abstractNumId w:val="9"/>
  </w:num>
  <w:num w:numId="9" w16cid:durableId="1852261900">
    <w:abstractNumId w:val="7"/>
  </w:num>
  <w:num w:numId="10" w16cid:durableId="1838841327">
    <w:abstractNumId w:val="6"/>
  </w:num>
  <w:num w:numId="11" w16cid:durableId="1707176565">
    <w:abstractNumId w:val="5"/>
  </w:num>
  <w:num w:numId="12" w16cid:durableId="1798837058">
    <w:abstractNumId w:val="4"/>
  </w:num>
  <w:num w:numId="13" w16cid:durableId="1404570837">
    <w:abstractNumId w:val="8"/>
  </w:num>
  <w:num w:numId="14" w16cid:durableId="732773327">
    <w:abstractNumId w:val="3"/>
  </w:num>
  <w:num w:numId="15" w16cid:durableId="237909535">
    <w:abstractNumId w:val="2"/>
  </w:num>
  <w:num w:numId="16" w16cid:durableId="1061059702">
    <w:abstractNumId w:val="1"/>
  </w:num>
  <w:num w:numId="17" w16cid:durableId="451049693">
    <w:abstractNumId w:val="0"/>
  </w:num>
  <w:num w:numId="18" w16cid:durableId="786200193">
    <w:abstractNumId w:val="15"/>
  </w:num>
  <w:num w:numId="19" w16cid:durableId="1967930718">
    <w:abstractNumId w:val="16"/>
  </w:num>
  <w:num w:numId="20" w16cid:durableId="399063954">
    <w:abstractNumId w:val="21"/>
  </w:num>
  <w:num w:numId="21" w16cid:durableId="1837569872">
    <w:abstractNumId w:val="18"/>
  </w:num>
  <w:num w:numId="22" w16cid:durableId="557398870">
    <w:abstractNumId w:val="11"/>
  </w:num>
  <w:num w:numId="23" w16cid:durableId="1668828037">
    <w:abstractNumId w:val="26"/>
  </w:num>
  <w:num w:numId="24" w16cid:durableId="745300207">
    <w:abstractNumId w:val="24"/>
  </w:num>
  <w:num w:numId="25" w16cid:durableId="1138840837">
    <w:abstractNumId w:val="22"/>
  </w:num>
  <w:num w:numId="26" w16cid:durableId="2016881799">
    <w:abstractNumId w:val="27"/>
  </w:num>
  <w:num w:numId="27" w16cid:durableId="713964578">
    <w:abstractNumId w:val="25"/>
  </w:num>
  <w:num w:numId="28" w16cid:durableId="5536626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5BA"/>
    <w:rsid w:val="00057B25"/>
    <w:rsid w:val="000A5998"/>
    <w:rsid w:val="00103092"/>
    <w:rsid w:val="0013148E"/>
    <w:rsid w:val="001C2942"/>
    <w:rsid w:val="00217FA6"/>
    <w:rsid w:val="0027706A"/>
    <w:rsid w:val="00283421"/>
    <w:rsid w:val="002A33A5"/>
    <w:rsid w:val="00314043"/>
    <w:rsid w:val="0032371D"/>
    <w:rsid w:val="003F2352"/>
    <w:rsid w:val="00404154"/>
    <w:rsid w:val="004E1859"/>
    <w:rsid w:val="00645252"/>
    <w:rsid w:val="00670900"/>
    <w:rsid w:val="00676D81"/>
    <w:rsid w:val="006A29CE"/>
    <w:rsid w:val="006D3D74"/>
    <w:rsid w:val="007708CF"/>
    <w:rsid w:val="00782D57"/>
    <w:rsid w:val="007F1F28"/>
    <w:rsid w:val="0083530A"/>
    <w:rsid w:val="0083569A"/>
    <w:rsid w:val="008562D8"/>
    <w:rsid w:val="008B11D5"/>
    <w:rsid w:val="0092112F"/>
    <w:rsid w:val="009433BB"/>
    <w:rsid w:val="0096353A"/>
    <w:rsid w:val="00A30F92"/>
    <w:rsid w:val="00A5273B"/>
    <w:rsid w:val="00A9204E"/>
    <w:rsid w:val="00B149A4"/>
    <w:rsid w:val="00B52B82"/>
    <w:rsid w:val="00C74701"/>
    <w:rsid w:val="00CB7909"/>
    <w:rsid w:val="00CD4A37"/>
    <w:rsid w:val="00D37CA7"/>
    <w:rsid w:val="00D65165"/>
    <w:rsid w:val="00DB1276"/>
    <w:rsid w:val="00DE25BA"/>
    <w:rsid w:val="00E420AC"/>
    <w:rsid w:val="00EA0B9D"/>
    <w:rsid w:val="00F6495B"/>
    <w:rsid w:val="00F73A8B"/>
    <w:rsid w:val="00FA0B59"/>
    <w:rsid w:val="00FD0FAD"/>
    <w:rsid w:val="00FE1B5F"/>
    <w:rsid w:val="00FF3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ED7B5"/>
  <w15:chartTrackingRefBased/>
  <w15:docId w15:val="{C386FFB1-1C7F-46CF-B508-FD02BC477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5B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DE25BA"/>
    <w:pPr>
      <w:ind w:left="720"/>
      <w:contextualSpacing/>
    </w:pPr>
  </w:style>
  <w:style w:type="table" w:styleId="TableGrid">
    <w:name w:val="Table Grid"/>
    <w:basedOn w:val="TableNormal"/>
    <w:uiPriority w:val="59"/>
    <w:rsid w:val="00DE2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A29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3883993">
      <w:bodyDiv w:val="1"/>
      <w:marLeft w:val="0"/>
      <w:marRight w:val="0"/>
      <w:marTop w:val="0"/>
      <w:marBottom w:val="0"/>
      <w:divBdr>
        <w:top w:val="none" w:sz="0" w:space="0" w:color="auto"/>
        <w:left w:val="none" w:sz="0" w:space="0" w:color="auto"/>
        <w:bottom w:val="none" w:sz="0" w:space="0" w:color="auto"/>
        <w:right w:val="none" w:sz="0" w:space="0" w:color="auto"/>
      </w:divBdr>
      <w:divsChild>
        <w:div w:id="1951929152">
          <w:marLeft w:val="0"/>
          <w:marRight w:val="0"/>
          <w:marTop w:val="0"/>
          <w:marBottom w:val="0"/>
          <w:divBdr>
            <w:top w:val="none" w:sz="0" w:space="0" w:color="auto"/>
            <w:left w:val="none" w:sz="0" w:space="0" w:color="auto"/>
            <w:bottom w:val="none" w:sz="0" w:space="0" w:color="auto"/>
            <w:right w:val="none" w:sz="0" w:space="0" w:color="auto"/>
          </w:divBdr>
        </w:div>
        <w:div w:id="96564568">
          <w:marLeft w:val="0"/>
          <w:marRight w:val="0"/>
          <w:marTop w:val="0"/>
          <w:marBottom w:val="0"/>
          <w:divBdr>
            <w:top w:val="none" w:sz="0" w:space="0" w:color="auto"/>
            <w:left w:val="none" w:sz="0" w:space="0" w:color="auto"/>
            <w:bottom w:val="none" w:sz="0" w:space="0" w:color="auto"/>
            <w:right w:val="none" w:sz="0" w:space="0" w:color="auto"/>
          </w:divBdr>
        </w:div>
        <w:div w:id="855386556">
          <w:marLeft w:val="0"/>
          <w:marRight w:val="0"/>
          <w:marTop w:val="0"/>
          <w:marBottom w:val="0"/>
          <w:divBdr>
            <w:top w:val="none" w:sz="0" w:space="0" w:color="auto"/>
            <w:left w:val="none" w:sz="0" w:space="0" w:color="auto"/>
            <w:bottom w:val="none" w:sz="0" w:space="0" w:color="auto"/>
            <w:right w:val="none" w:sz="0" w:space="0" w:color="auto"/>
          </w:divBdr>
        </w:div>
      </w:divsChild>
    </w:div>
    <w:div w:id="1125005797">
      <w:bodyDiv w:val="1"/>
      <w:marLeft w:val="0"/>
      <w:marRight w:val="0"/>
      <w:marTop w:val="0"/>
      <w:marBottom w:val="0"/>
      <w:divBdr>
        <w:top w:val="none" w:sz="0" w:space="0" w:color="auto"/>
        <w:left w:val="none" w:sz="0" w:space="0" w:color="auto"/>
        <w:bottom w:val="none" w:sz="0" w:space="0" w:color="auto"/>
        <w:right w:val="none" w:sz="0" w:space="0" w:color="auto"/>
      </w:divBdr>
      <w:divsChild>
        <w:div w:id="136336229">
          <w:marLeft w:val="0"/>
          <w:marRight w:val="0"/>
          <w:marTop w:val="0"/>
          <w:marBottom w:val="0"/>
          <w:divBdr>
            <w:top w:val="none" w:sz="0" w:space="0" w:color="auto"/>
            <w:left w:val="none" w:sz="0" w:space="0" w:color="auto"/>
            <w:bottom w:val="none" w:sz="0" w:space="0" w:color="auto"/>
            <w:right w:val="none" w:sz="0" w:space="0" w:color="auto"/>
          </w:divBdr>
        </w:div>
        <w:div w:id="2057924702">
          <w:marLeft w:val="0"/>
          <w:marRight w:val="0"/>
          <w:marTop w:val="0"/>
          <w:marBottom w:val="0"/>
          <w:divBdr>
            <w:top w:val="none" w:sz="0" w:space="0" w:color="auto"/>
            <w:left w:val="none" w:sz="0" w:space="0" w:color="auto"/>
            <w:bottom w:val="none" w:sz="0" w:space="0" w:color="auto"/>
            <w:right w:val="none" w:sz="0" w:space="0" w:color="auto"/>
          </w:divBdr>
        </w:div>
        <w:div w:id="4934478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nnon.steed\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0C5A07-8E0A-41A8-90C8-D0B77EB07684}">
  <ds:schemaRefs>
    <ds:schemaRef ds:uri="http://schemas.openxmlformats.org/officeDocument/2006/bibliography"/>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Template>
  <TotalTime>7</TotalTime>
  <Pages>1</Pages>
  <Words>578</Words>
  <Characters>3298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Steed, Shannon</dc:creator>
  <cp:keywords/>
  <dc:description/>
  <cp:lastModifiedBy>Steed, Shannon</cp:lastModifiedBy>
  <cp:revision>3</cp:revision>
  <dcterms:created xsi:type="dcterms:W3CDTF">2025-05-21T23:28:00Z</dcterms:created>
  <dcterms:modified xsi:type="dcterms:W3CDTF">2025-05-21T23:31:00Z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y fmtid="{D5CDD505-2E9C-101B-9397-08002B2CF9AE}" pid="8" name="MSIP_Label_1da8032d-c4fe-48b8-9054-92634c9ea061_Enabled">
    <vt:lpwstr>true</vt:lpwstr>
  </property>
  <property fmtid="{D5CDD505-2E9C-101B-9397-08002B2CF9AE}" pid="9" name="MSIP_Label_1da8032d-c4fe-48b8-9054-92634c9ea061_SetDate">
    <vt:lpwstr>2024-12-10T01:17:58Z</vt:lpwstr>
  </property>
  <property fmtid="{D5CDD505-2E9C-101B-9397-08002B2CF9AE}" pid="10" name="MSIP_Label_1da8032d-c4fe-48b8-9054-92634c9ea061_Method">
    <vt:lpwstr>Standard</vt:lpwstr>
  </property>
  <property fmtid="{D5CDD505-2E9C-101B-9397-08002B2CF9AE}" pid="11" name="MSIP_Label_1da8032d-c4fe-48b8-9054-92634c9ea061_Name">
    <vt:lpwstr>Label 2 - Docs</vt:lpwstr>
  </property>
  <property fmtid="{D5CDD505-2E9C-101B-9397-08002B2CF9AE}" pid="12" name="MSIP_Label_1da8032d-c4fe-48b8-9054-92634c9ea061_SiteId">
    <vt:lpwstr>ce6a0196-6152-4c6a-9d1d-e946c3735743</vt:lpwstr>
  </property>
  <property fmtid="{D5CDD505-2E9C-101B-9397-08002B2CF9AE}" pid="13" name="MSIP_Label_1da8032d-c4fe-48b8-9054-92634c9ea061_ActionId">
    <vt:lpwstr>9a60dcc7-b651-409a-a859-08a818495aeb</vt:lpwstr>
  </property>
  <property fmtid="{D5CDD505-2E9C-101B-9397-08002B2CF9AE}" pid="14" name="MSIP_Label_1da8032d-c4fe-48b8-9054-92634c9ea061_ContentBits">
    <vt:lpwstr>0</vt:lpwstr>
  </property>
</Properties>
</file>