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4076" w14:textId="77777777" w:rsidR="00DE25BA" w:rsidRDefault="00DE25BA" w:rsidP="00DE25BA">
      <w:pPr>
        <w:jc w:val="center"/>
        <w:rPr>
          <w:b/>
          <w:bCs/>
        </w:rPr>
      </w:pPr>
      <w:r>
        <w:rPr>
          <w:noProof/>
        </w:rPr>
        <w:drawing>
          <wp:inline distT="0" distB="0" distL="0" distR="0" wp14:anchorId="7E7897CD" wp14:editId="73649FCF">
            <wp:extent cx="2076450" cy="863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CN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823" cy="887041"/>
                    </a:xfrm>
                    <a:prstGeom prst="rect">
                      <a:avLst/>
                    </a:prstGeom>
                  </pic:spPr>
                </pic:pic>
              </a:graphicData>
            </a:graphic>
          </wp:inline>
        </w:drawing>
      </w:r>
    </w:p>
    <w:p w14:paraId="79CCBAEB" w14:textId="77777777" w:rsidR="00DE25BA" w:rsidRDefault="00DE25BA" w:rsidP="00DE25BA">
      <w:pPr>
        <w:jc w:val="center"/>
        <w:rPr>
          <w:b/>
          <w:bCs/>
        </w:rPr>
      </w:pPr>
    </w:p>
    <w:p w14:paraId="3E2BB139" w14:textId="77777777" w:rsidR="00DE25BA" w:rsidRDefault="00DE25BA" w:rsidP="00DE25BA">
      <w:pPr>
        <w:jc w:val="center"/>
        <w:rPr>
          <w:b/>
          <w:bCs/>
        </w:rPr>
      </w:pPr>
      <w:r>
        <w:rPr>
          <w:b/>
          <w:bCs/>
        </w:rPr>
        <w:t>CARES Advisory Group Meeting Agenda</w:t>
      </w:r>
    </w:p>
    <w:p w14:paraId="2D3AA842" w14:textId="03BF883E" w:rsidR="00DE25BA" w:rsidRDefault="00D914A2" w:rsidP="00DE25BA">
      <w:pPr>
        <w:jc w:val="center"/>
        <w:rPr>
          <w:b/>
          <w:bCs/>
        </w:rPr>
      </w:pPr>
      <w:r>
        <w:rPr>
          <w:b/>
          <w:bCs/>
        </w:rPr>
        <w:t>June</w:t>
      </w:r>
      <w:r w:rsidR="00DE25BA">
        <w:rPr>
          <w:b/>
          <w:bCs/>
        </w:rPr>
        <w:t xml:space="preserve"> </w:t>
      </w:r>
      <w:r>
        <w:rPr>
          <w:b/>
          <w:bCs/>
        </w:rPr>
        <w:t>18</w:t>
      </w:r>
      <w:r w:rsidR="00DE25BA">
        <w:rPr>
          <w:b/>
          <w:bCs/>
        </w:rPr>
        <w:t>, 202</w:t>
      </w:r>
      <w:r w:rsidR="0027706A">
        <w:rPr>
          <w:b/>
          <w:bCs/>
        </w:rPr>
        <w:t>5</w:t>
      </w:r>
      <w:r w:rsidR="00DE25BA">
        <w:rPr>
          <w:b/>
          <w:bCs/>
        </w:rPr>
        <w:t xml:space="preserve">    2:00 – 3:00pm Pacific</w:t>
      </w:r>
    </w:p>
    <w:p w14:paraId="3E55A991" w14:textId="77777777" w:rsidR="00DE25BA" w:rsidRPr="00051C67" w:rsidRDefault="00DE25BA" w:rsidP="00DE25BA">
      <w:pPr>
        <w:jc w:val="both"/>
      </w:pPr>
    </w:p>
    <w:tbl>
      <w:tblPr>
        <w:tblStyle w:val="TableGrid"/>
        <w:tblW w:w="10350" w:type="dxa"/>
        <w:jc w:val="center"/>
        <w:tblLook w:val="04A0" w:firstRow="1" w:lastRow="0" w:firstColumn="1" w:lastColumn="0" w:noHBand="0" w:noVBand="1"/>
      </w:tblPr>
      <w:tblGrid>
        <w:gridCol w:w="5400"/>
        <w:gridCol w:w="4950"/>
      </w:tblGrid>
      <w:tr w:rsidR="00DE25BA" w:rsidRPr="00F60E65" w14:paraId="0C46443E" w14:textId="77777777" w:rsidTr="005E7B33">
        <w:trPr>
          <w:jc w:val="center"/>
        </w:trPr>
        <w:tc>
          <w:tcPr>
            <w:tcW w:w="5400" w:type="dxa"/>
            <w:shd w:val="clear" w:color="auto" w:fill="D9D9D9" w:themeFill="background1" w:themeFillShade="D9"/>
          </w:tcPr>
          <w:p w14:paraId="7757055A" w14:textId="77777777" w:rsidR="00DE25BA" w:rsidRPr="00F60E65" w:rsidRDefault="00DE25BA" w:rsidP="005E7B33">
            <w:pPr>
              <w:pStyle w:val="ListParagraph"/>
              <w:ind w:left="0"/>
              <w:rPr>
                <w:b/>
              </w:rPr>
            </w:pPr>
            <w:r>
              <w:rPr>
                <w:b/>
              </w:rPr>
              <w:t>Advisory Group Member</w:t>
            </w:r>
          </w:p>
        </w:tc>
        <w:tc>
          <w:tcPr>
            <w:tcW w:w="4950" w:type="dxa"/>
            <w:shd w:val="clear" w:color="auto" w:fill="D9D9D9" w:themeFill="background1" w:themeFillShade="D9"/>
          </w:tcPr>
          <w:p w14:paraId="60753A31" w14:textId="77777777" w:rsidR="00DE25BA" w:rsidRPr="00F60E65" w:rsidRDefault="00DE25BA" w:rsidP="005E7B33">
            <w:pPr>
              <w:pStyle w:val="ListParagraph"/>
              <w:ind w:left="0"/>
              <w:rPr>
                <w:b/>
              </w:rPr>
            </w:pPr>
          </w:p>
        </w:tc>
      </w:tr>
      <w:tr w:rsidR="00DE25BA" w:rsidRPr="00BD08D3" w14:paraId="02F32F81" w14:textId="77777777" w:rsidTr="005E7B33">
        <w:trPr>
          <w:jc w:val="center"/>
        </w:trPr>
        <w:tc>
          <w:tcPr>
            <w:tcW w:w="5400" w:type="dxa"/>
          </w:tcPr>
          <w:p w14:paraId="7EB4BB36" w14:textId="77777777" w:rsidR="00DE25BA" w:rsidRPr="00BD08D3" w:rsidRDefault="00DE25BA" w:rsidP="005E7B33">
            <w:pPr>
              <w:pStyle w:val="ListParagraph"/>
              <w:ind w:left="0"/>
            </w:pPr>
            <w:r w:rsidRPr="00BD08D3">
              <w:t>Blue Mountain Action Council</w:t>
            </w:r>
            <w:r>
              <w:t xml:space="preserve"> (BMAC)</w:t>
            </w:r>
          </w:p>
        </w:tc>
        <w:tc>
          <w:tcPr>
            <w:tcW w:w="4950" w:type="dxa"/>
          </w:tcPr>
          <w:p w14:paraId="767F0BC3" w14:textId="77777777" w:rsidR="00DE25BA" w:rsidRPr="00BD08D3" w:rsidRDefault="00DE25BA" w:rsidP="005E7B33">
            <w:pPr>
              <w:pStyle w:val="ListParagraph"/>
              <w:ind w:left="0"/>
              <w:rPr>
                <w:color w:val="FF0000"/>
              </w:rPr>
            </w:pPr>
            <w:r w:rsidRPr="00BD08D3">
              <w:t>Sylvia Schaefer</w:t>
            </w:r>
          </w:p>
        </w:tc>
      </w:tr>
      <w:tr w:rsidR="00DE25BA" w:rsidRPr="00BD08D3" w14:paraId="1411B599" w14:textId="77777777" w:rsidTr="005E7B33">
        <w:trPr>
          <w:jc w:val="center"/>
        </w:trPr>
        <w:tc>
          <w:tcPr>
            <w:tcW w:w="5400" w:type="dxa"/>
          </w:tcPr>
          <w:p w14:paraId="46721E7C" w14:textId="77777777" w:rsidR="00DE25BA" w:rsidRPr="00BD08D3" w:rsidRDefault="00DE25BA" w:rsidP="005E7B33">
            <w:pPr>
              <w:pStyle w:val="ListParagraph"/>
              <w:ind w:left="0"/>
            </w:pPr>
            <w:r>
              <w:t xml:space="preserve">Benton-Franklin </w:t>
            </w:r>
            <w:r w:rsidRPr="00BD08D3">
              <w:t>Community Action Connections</w:t>
            </w:r>
            <w:r>
              <w:t xml:space="preserve"> (CAC)</w:t>
            </w:r>
          </w:p>
        </w:tc>
        <w:tc>
          <w:tcPr>
            <w:tcW w:w="4950" w:type="dxa"/>
          </w:tcPr>
          <w:p w14:paraId="230864DA" w14:textId="77777777" w:rsidR="00DE25BA" w:rsidRPr="00BD08D3" w:rsidRDefault="00DE25BA" w:rsidP="005E7B33">
            <w:pPr>
              <w:pStyle w:val="ListParagraph"/>
              <w:ind w:left="0"/>
            </w:pPr>
            <w:r w:rsidRPr="00BD08D3">
              <w:t>Dalia Ochoa</w:t>
            </w:r>
          </w:p>
        </w:tc>
      </w:tr>
      <w:tr w:rsidR="00DE25BA" w:rsidRPr="00BD08D3" w14:paraId="628050DE" w14:textId="77777777" w:rsidTr="005E7B33">
        <w:trPr>
          <w:jc w:val="center"/>
        </w:trPr>
        <w:tc>
          <w:tcPr>
            <w:tcW w:w="5400" w:type="dxa"/>
          </w:tcPr>
          <w:p w14:paraId="06705D1E" w14:textId="77777777" w:rsidR="00DE25BA" w:rsidRPr="00BD08D3" w:rsidRDefault="00DE25BA" w:rsidP="005E7B33">
            <w:pPr>
              <w:pStyle w:val="ListParagraph"/>
              <w:ind w:left="0"/>
            </w:pPr>
            <w:r w:rsidRPr="00BD08D3">
              <w:t>Community Action of Lewis, Mason, &amp; Thurston Counties</w:t>
            </w:r>
            <w:r>
              <w:t xml:space="preserve"> (CACLMT)</w:t>
            </w:r>
          </w:p>
        </w:tc>
        <w:tc>
          <w:tcPr>
            <w:tcW w:w="4950" w:type="dxa"/>
          </w:tcPr>
          <w:p w14:paraId="1FB0F3A9" w14:textId="142C2B24" w:rsidR="00DE25BA" w:rsidRPr="00BD08D3" w:rsidRDefault="000A5998" w:rsidP="005E7B33">
            <w:pPr>
              <w:pStyle w:val="ListParagraph"/>
              <w:ind w:left="0"/>
            </w:pPr>
            <w:r>
              <w:t xml:space="preserve">                                                                                       </w:t>
            </w:r>
            <w:r w:rsidR="00DE25BA">
              <w:t>Ester Castro, Stephenie Arnold</w:t>
            </w:r>
          </w:p>
        </w:tc>
      </w:tr>
      <w:tr w:rsidR="00DE25BA" w:rsidRPr="00BD08D3" w14:paraId="263E8125" w14:textId="77777777" w:rsidTr="005E7B33">
        <w:trPr>
          <w:jc w:val="center"/>
        </w:trPr>
        <w:tc>
          <w:tcPr>
            <w:tcW w:w="5400" w:type="dxa"/>
          </w:tcPr>
          <w:p w14:paraId="6FAB3082" w14:textId="77777777" w:rsidR="00DE25BA" w:rsidRPr="00BD08D3" w:rsidRDefault="00DE25BA" w:rsidP="005E7B33">
            <w:pPr>
              <w:pStyle w:val="ListParagraph"/>
              <w:ind w:left="0"/>
            </w:pPr>
            <w:r w:rsidRPr="00BD08D3">
              <w:t>Coastal Community Action Program</w:t>
            </w:r>
            <w:r>
              <w:t xml:space="preserve"> (CCAP)</w:t>
            </w:r>
          </w:p>
        </w:tc>
        <w:tc>
          <w:tcPr>
            <w:tcW w:w="4950" w:type="dxa"/>
          </w:tcPr>
          <w:p w14:paraId="1570DF98" w14:textId="77777777" w:rsidR="00DE25BA" w:rsidRPr="00BD08D3" w:rsidRDefault="00DE25BA" w:rsidP="005E7B33">
            <w:pPr>
              <w:pStyle w:val="ListParagraph"/>
              <w:ind w:left="0"/>
            </w:pPr>
            <w:r w:rsidRPr="00BD08D3">
              <w:t>Debbie Gregg</w:t>
            </w:r>
          </w:p>
        </w:tc>
      </w:tr>
      <w:tr w:rsidR="00DE25BA" w:rsidRPr="00BD08D3" w14:paraId="71052967" w14:textId="77777777" w:rsidTr="005E7B33">
        <w:trPr>
          <w:jc w:val="center"/>
        </w:trPr>
        <w:tc>
          <w:tcPr>
            <w:tcW w:w="5400" w:type="dxa"/>
          </w:tcPr>
          <w:p w14:paraId="46ED2163" w14:textId="77777777" w:rsidR="00DE25BA" w:rsidRPr="00BD08D3" w:rsidRDefault="00DE25BA" w:rsidP="005E7B33">
            <w:pPr>
              <w:pStyle w:val="ListParagraph"/>
              <w:ind w:left="0"/>
            </w:pPr>
            <w:r w:rsidRPr="00BD08D3">
              <w:t>Chelan-Douglas Community Action Council</w:t>
            </w:r>
            <w:r>
              <w:t xml:space="preserve"> (CDCAC)</w:t>
            </w:r>
          </w:p>
        </w:tc>
        <w:tc>
          <w:tcPr>
            <w:tcW w:w="4950" w:type="dxa"/>
          </w:tcPr>
          <w:p w14:paraId="1226AE9B" w14:textId="77777777" w:rsidR="00DE25BA" w:rsidRPr="00BD08D3" w:rsidRDefault="00DE25BA" w:rsidP="005E7B33">
            <w:pPr>
              <w:pStyle w:val="ListParagraph"/>
              <w:ind w:left="0"/>
            </w:pPr>
            <w:r>
              <w:t>Tom Bonwell, Sarah Brito, Alan Walker</w:t>
            </w:r>
          </w:p>
        </w:tc>
      </w:tr>
      <w:tr w:rsidR="00DE25BA" w:rsidRPr="00BD08D3" w14:paraId="714555AD" w14:textId="77777777" w:rsidTr="005E7B33">
        <w:trPr>
          <w:jc w:val="center"/>
        </w:trPr>
        <w:tc>
          <w:tcPr>
            <w:tcW w:w="5400" w:type="dxa"/>
          </w:tcPr>
          <w:p w14:paraId="6E123DFD" w14:textId="77777777" w:rsidR="00DE25BA" w:rsidRPr="00BD08D3" w:rsidRDefault="00DE25BA" w:rsidP="005E7B33">
            <w:pPr>
              <w:pStyle w:val="ListParagraph"/>
              <w:ind w:left="0"/>
            </w:pPr>
            <w:r w:rsidRPr="00BD08D3">
              <w:t>Kitsap Community Resources</w:t>
            </w:r>
            <w:r>
              <w:t xml:space="preserve"> (KCR)</w:t>
            </w:r>
          </w:p>
        </w:tc>
        <w:tc>
          <w:tcPr>
            <w:tcW w:w="4950" w:type="dxa"/>
          </w:tcPr>
          <w:p w14:paraId="4CE11090" w14:textId="77777777" w:rsidR="00DE25BA" w:rsidRPr="00BD08D3" w:rsidRDefault="00DE25BA" w:rsidP="005E7B33">
            <w:pPr>
              <w:pStyle w:val="ListParagraph"/>
              <w:ind w:left="0"/>
              <w:rPr>
                <w:rFonts w:eastAsia="Times New Roman"/>
              </w:rPr>
            </w:pPr>
            <w:r w:rsidRPr="00BD08D3">
              <w:rPr>
                <w:rFonts w:eastAsia="Times New Roman"/>
              </w:rPr>
              <w:t>Kandi Balandran</w:t>
            </w:r>
          </w:p>
        </w:tc>
      </w:tr>
      <w:tr w:rsidR="00DE25BA" w:rsidRPr="00BD08D3" w14:paraId="3ED54A08" w14:textId="77777777" w:rsidTr="005E7B33">
        <w:trPr>
          <w:jc w:val="center"/>
        </w:trPr>
        <w:tc>
          <w:tcPr>
            <w:tcW w:w="5400" w:type="dxa"/>
          </w:tcPr>
          <w:p w14:paraId="0BF4C73C" w14:textId="77777777" w:rsidR="00DE25BA" w:rsidRPr="00BD08D3" w:rsidRDefault="00DE25BA" w:rsidP="005E7B33">
            <w:pPr>
              <w:pStyle w:val="ListParagraph"/>
              <w:ind w:left="0"/>
            </w:pPr>
            <w:r w:rsidRPr="00BD08D3">
              <w:t>Lower Columbia Community Action Center</w:t>
            </w:r>
            <w:r>
              <w:t xml:space="preserve"> (LCCAP)</w:t>
            </w:r>
          </w:p>
        </w:tc>
        <w:tc>
          <w:tcPr>
            <w:tcW w:w="4950" w:type="dxa"/>
          </w:tcPr>
          <w:p w14:paraId="488C062A" w14:textId="77777777" w:rsidR="00DE25BA" w:rsidRPr="00BD08D3" w:rsidRDefault="00DE25BA" w:rsidP="005E7B33">
            <w:pPr>
              <w:pStyle w:val="ListParagraph"/>
              <w:ind w:left="0"/>
              <w:rPr>
                <w:rFonts w:eastAsia="Times New Roman"/>
              </w:rPr>
            </w:pPr>
            <w:r w:rsidRPr="00BD08D3">
              <w:rPr>
                <w:rFonts w:eastAsia="Times New Roman"/>
              </w:rPr>
              <w:t>Kathy Bates</w:t>
            </w:r>
          </w:p>
        </w:tc>
      </w:tr>
      <w:tr w:rsidR="00DE25BA" w:rsidRPr="00BD08D3" w14:paraId="53CC7A8E" w14:textId="77777777" w:rsidTr="005E7B33">
        <w:trPr>
          <w:jc w:val="center"/>
        </w:trPr>
        <w:tc>
          <w:tcPr>
            <w:tcW w:w="5400" w:type="dxa"/>
          </w:tcPr>
          <w:p w14:paraId="1785E768" w14:textId="77777777" w:rsidR="00DE25BA" w:rsidRPr="00BD08D3" w:rsidRDefault="00DE25BA" w:rsidP="005E7B33">
            <w:pPr>
              <w:pStyle w:val="ListParagraph"/>
              <w:ind w:left="0"/>
            </w:pPr>
            <w:r w:rsidRPr="00BD08D3">
              <w:t>NW Community Action Center</w:t>
            </w:r>
            <w:r>
              <w:t xml:space="preserve"> (NCAC)</w:t>
            </w:r>
          </w:p>
        </w:tc>
        <w:tc>
          <w:tcPr>
            <w:tcW w:w="4950" w:type="dxa"/>
          </w:tcPr>
          <w:p w14:paraId="070B33BC" w14:textId="77777777" w:rsidR="00DE25BA" w:rsidRPr="00BD08D3" w:rsidRDefault="00DE25BA" w:rsidP="005E7B33">
            <w:pPr>
              <w:pStyle w:val="ListParagraph"/>
              <w:ind w:left="0"/>
              <w:rPr>
                <w:rFonts w:eastAsia="Times New Roman"/>
              </w:rPr>
            </w:pPr>
            <w:r w:rsidRPr="00BD08D3">
              <w:rPr>
                <w:rFonts w:eastAsia="Times New Roman"/>
              </w:rPr>
              <w:t>Jose Alvarez</w:t>
            </w:r>
          </w:p>
        </w:tc>
      </w:tr>
      <w:tr w:rsidR="00DE25BA" w:rsidRPr="00BD08D3" w14:paraId="0D5AA300" w14:textId="77777777" w:rsidTr="005E7B33">
        <w:trPr>
          <w:jc w:val="center"/>
        </w:trPr>
        <w:tc>
          <w:tcPr>
            <w:tcW w:w="5400" w:type="dxa"/>
          </w:tcPr>
          <w:p w14:paraId="66866975" w14:textId="77777777" w:rsidR="00DE25BA" w:rsidRPr="00BD08D3" w:rsidRDefault="00DE25BA" w:rsidP="005E7B33">
            <w:pPr>
              <w:pStyle w:val="ListParagraph"/>
              <w:ind w:left="0"/>
            </w:pPr>
            <w:r w:rsidRPr="00BD08D3">
              <w:t>OIC of Washington</w:t>
            </w:r>
            <w:r>
              <w:t xml:space="preserve"> (OIC)</w:t>
            </w:r>
          </w:p>
        </w:tc>
        <w:tc>
          <w:tcPr>
            <w:tcW w:w="4950" w:type="dxa"/>
          </w:tcPr>
          <w:p w14:paraId="4D889F78" w14:textId="77777777" w:rsidR="00DE25BA" w:rsidRPr="00BD08D3" w:rsidRDefault="00DE25BA" w:rsidP="005E7B33">
            <w:pPr>
              <w:pStyle w:val="ListParagraph"/>
              <w:ind w:left="0"/>
              <w:rPr>
                <w:rFonts w:eastAsia="Times New Roman"/>
              </w:rPr>
            </w:pPr>
            <w:r w:rsidRPr="00BD08D3">
              <w:rPr>
                <w:rFonts w:eastAsia="Times New Roman"/>
              </w:rPr>
              <w:t>Heidi Silva, Casandra Ochoa</w:t>
            </w:r>
            <w:r>
              <w:rPr>
                <w:rFonts w:eastAsia="Times New Roman"/>
              </w:rPr>
              <w:t>, Candi Jaeger</w:t>
            </w:r>
          </w:p>
        </w:tc>
      </w:tr>
      <w:tr w:rsidR="00DE25BA" w:rsidRPr="00BD08D3" w14:paraId="088E1A5D" w14:textId="77777777" w:rsidTr="005E7B33">
        <w:trPr>
          <w:jc w:val="center"/>
        </w:trPr>
        <w:tc>
          <w:tcPr>
            <w:tcW w:w="5400" w:type="dxa"/>
          </w:tcPr>
          <w:p w14:paraId="692BF9C2" w14:textId="77777777" w:rsidR="00DE25BA" w:rsidRPr="00BD08D3" w:rsidRDefault="00DE25BA" w:rsidP="005E7B33">
            <w:pPr>
              <w:pStyle w:val="ListParagraph"/>
              <w:ind w:left="0"/>
            </w:pPr>
            <w:r w:rsidRPr="00BD08D3">
              <w:t>Opportunity Council</w:t>
            </w:r>
            <w:r>
              <w:t xml:space="preserve"> (OPPCO)</w:t>
            </w:r>
          </w:p>
        </w:tc>
        <w:tc>
          <w:tcPr>
            <w:tcW w:w="4950" w:type="dxa"/>
          </w:tcPr>
          <w:p w14:paraId="5719819C" w14:textId="77777777" w:rsidR="00DE25BA" w:rsidRPr="00BD08D3" w:rsidRDefault="00DE25BA" w:rsidP="005E7B33">
            <w:pPr>
              <w:pStyle w:val="ListParagraph"/>
              <w:ind w:left="0"/>
              <w:rPr>
                <w:rFonts w:eastAsia="Times New Roman"/>
              </w:rPr>
            </w:pPr>
            <w:r w:rsidRPr="00BD08D3">
              <w:rPr>
                <w:rFonts w:eastAsia="Times New Roman"/>
              </w:rPr>
              <w:t xml:space="preserve">Marie </w:t>
            </w:r>
            <w:r>
              <w:rPr>
                <w:rFonts w:eastAsia="Times New Roman"/>
              </w:rPr>
              <w:t>Stanley, Melissa Gong</w:t>
            </w:r>
          </w:p>
        </w:tc>
      </w:tr>
      <w:tr w:rsidR="00DE25BA" w:rsidRPr="00BD08D3" w14:paraId="059EF0DE" w14:textId="77777777" w:rsidTr="005E7B33">
        <w:trPr>
          <w:jc w:val="center"/>
        </w:trPr>
        <w:tc>
          <w:tcPr>
            <w:tcW w:w="5400" w:type="dxa"/>
          </w:tcPr>
          <w:p w14:paraId="4E960959" w14:textId="77777777" w:rsidR="00DE25BA" w:rsidRPr="00BD08D3" w:rsidRDefault="00DE25BA" w:rsidP="005E7B33">
            <w:pPr>
              <w:pStyle w:val="ListParagraph"/>
              <w:ind w:left="0"/>
            </w:pPr>
            <w:r w:rsidRPr="00BD08D3">
              <w:t>Community Action of Skagit County</w:t>
            </w:r>
            <w:r>
              <w:t xml:space="preserve"> (SCCAA)</w:t>
            </w:r>
          </w:p>
        </w:tc>
        <w:tc>
          <w:tcPr>
            <w:tcW w:w="4950" w:type="dxa"/>
          </w:tcPr>
          <w:p w14:paraId="6CF17192" w14:textId="77777777" w:rsidR="00DE25BA" w:rsidRPr="00BD08D3" w:rsidRDefault="00DE25BA" w:rsidP="005E7B33">
            <w:pPr>
              <w:pStyle w:val="ListParagraph"/>
              <w:ind w:left="0"/>
              <w:rPr>
                <w:rFonts w:eastAsia="Times New Roman"/>
              </w:rPr>
            </w:pPr>
            <w:r w:rsidRPr="00BD08D3">
              <w:rPr>
                <w:rFonts w:eastAsia="Times New Roman"/>
              </w:rPr>
              <w:t>Misty Velasquez</w:t>
            </w:r>
          </w:p>
        </w:tc>
      </w:tr>
      <w:tr w:rsidR="00DE25BA" w:rsidRPr="00BD08D3" w14:paraId="317E1DB1" w14:textId="77777777" w:rsidTr="005E7B33">
        <w:trPr>
          <w:jc w:val="center"/>
        </w:trPr>
        <w:tc>
          <w:tcPr>
            <w:tcW w:w="5400" w:type="dxa"/>
          </w:tcPr>
          <w:p w14:paraId="3D8B2DD2" w14:textId="77777777" w:rsidR="00DE25BA" w:rsidRPr="00BD08D3" w:rsidRDefault="00DE25BA" w:rsidP="005E7B33">
            <w:pPr>
              <w:pStyle w:val="ListParagraph"/>
              <w:ind w:left="0"/>
            </w:pPr>
            <w:r w:rsidRPr="00BD08D3">
              <w:t>Snohomish County Human Services Dept</w:t>
            </w:r>
            <w:r>
              <w:t xml:space="preserve"> (SCEAP)</w:t>
            </w:r>
          </w:p>
        </w:tc>
        <w:tc>
          <w:tcPr>
            <w:tcW w:w="4950" w:type="dxa"/>
          </w:tcPr>
          <w:p w14:paraId="1F699B78" w14:textId="77777777" w:rsidR="00DE25BA" w:rsidRPr="00BD08D3" w:rsidRDefault="00DE25BA" w:rsidP="005E7B33">
            <w:pPr>
              <w:pStyle w:val="ListParagraph"/>
              <w:ind w:left="0"/>
              <w:rPr>
                <w:rFonts w:eastAsia="Times New Roman"/>
              </w:rPr>
            </w:pPr>
            <w:r>
              <w:rPr>
                <w:rFonts w:eastAsia="Times New Roman"/>
              </w:rPr>
              <w:t>Constance Hockett, Traci Baugh</w:t>
            </w:r>
          </w:p>
        </w:tc>
      </w:tr>
      <w:tr w:rsidR="00DE25BA" w:rsidRPr="008D60BE" w14:paraId="6CC37784" w14:textId="77777777" w:rsidTr="005E7B33">
        <w:trPr>
          <w:jc w:val="center"/>
        </w:trPr>
        <w:tc>
          <w:tcPr>
            <w:tcW w:w="5400" w:type="dxa"/>
            <w:shd w:val="clear" w:color="auto" w:fill="auto"/>
          </w:tcPr>
          <w:p w14:paraId="4E45D3A3" w14:textId="77777777" w:rsidR="00DE25BA" w:rsidRPr="008D60BE" w:rsidRDefault="00DE25BA" w:rsidP="005E7B33">
            <w:pPr>
              <w:pStyle w:val="ListParagraph"/>
              <w:ind w:left="0"/>
              <w:rPr>
                <w:bCs/>
              </w:rPr>
            </w:pPr>
            <w:r w:rsidRPr="008D60BE">
              <w:rPr>
                <w:bCs/>
              </w:rPr>
              <w:t>WUTC Staff</w:t>
            </w:r>
          </w:p>
        </w:tc>
        <w:tc>
          <w:tcPr>
            <w:tcW w:w="4950" w:type="dxa"/>
            <w:shd w:val="clear" w:color="auto" w:fill="auto"/>
          </w:tcPr>
          <w:p w14:paraId="67D4E0DD" w14:textId="77777777" w:rsidR="00DE25BA" w:rsidRPr="008D60BE" w:rsidRDefault="00DE25BA" w:rsidP="005E7B33">
            <w:pPr>
              <w:pStyle w:val="ListParagraph"/>
              <w:ind w:left="0"/>
              <w:rPr>
                <w:bCs/>
              </w:rPr>
            </w:pPr>
            <w:r w:rsidRPr="008D60BE">
              <w:rPr>
                <w:bCs/>
              </w:rPr>
              <w:t>Andrew Roberts, Andy Sellards</w:t>
            </w:r>
            <w:r>
              <w:rPr>
                <w:bCs/>
              </w:rPr>
              <w:t>, Corey Cook, Jacque Hawkins-Jones, Keith Quinata</w:t>
            </w:r>
          </w:p>
        </w:tc>
      </w:tr>
      <w:tr w:rsidR="00DE25BA" w:rsidRPr="008D60BE" w14:paraId="1B21190F" w14:textId="77777777" w:rsidTr="005E7B33">
        <w:trPr>
          <w:jc w:val="center"/>
        </w:trPr>
        <w:tc>
          <w:tcPr>
            <w:tcW w:w="5400" w:type="dxa"/>
            <w:shd w:val="clear" w:color="auto" w:fill="auto"/>
          </w:tcPr>
          <w:p w14:paraId="21CCFF1D" w14:textId="77777777" w:rsidR="00DE25BA" w:rsidRPr="008D60BE" w:rsidRDefault="00DE25BA" w:rsidP="005E7B33">
            <w:pPr>
              <w:pStyle w:val="ListParagraph"/>
              <w:ind w:left="0"/>
              <w:rPr>
                <w:bCs/>
              </w:rPr>
            </w:pPr>
            <w:r w:rsidRPr="008D60BE">
              <w:rPr>
                <w:bCs/>
              </w:rPr>
              <w:t>The Energy Project</w:t>
            </w:r>
          </w:p>
        </w:tc>
        <w:tc>
          <w:tcPr>
            <w:tcW w:w="4950" w:type="dxa"/>
            <w:shd w:val="clear" w:color="auto" w:fill="auto"/>
          </w:tcPr>
          <w:p w14:paraId="5063AE43" w14:textId="77777777" w:rsidR="00DE25BA" w:rsidRPr="008D60BE" w:rsidRDefault="00DE25BA" w:rsidP="005E7B33">
            <w:pPr>
              <w:pStyle w:val="ListParagraph"/>
              <w:ind w:left="0"/>
              <w:rPr>
                <w:bCs/>
              </w:rPr>
            </w:pPr>
            <w:r>
              <w:rPr>
                <w:bCs/>
              </w:rPr>
              <w:t>Shaylee Stokes</w:t>
            </w:r>
          </w:p>
        </w:tc>
      </w:tr>
      <w:tr w:rsidR="00DE25BA" w:rsidRPr="008D60BE" w14:paraId="44B7FB75" w14:textId="77777777" w:rsidTr="005E7B33">
        <w:trPr>
          <w:jc w:val="center"/>
        </w:trPr>
        <w:tc>
          <w:tcPr>
            <w:tcW w:w="5400" w:type="dxa"/>
            <w:shd w:val="clear" w:color="auto" w:fill="auto"/>
          </w:tcPr>
          <w:p w14:paraId="5FCB0A52" w14:textId="77777777" w:rsidR="00DE25BA" w:rsidRPr="008D60BE" w:rsidRDefault="00DE25BA" w:rsidP="005E7B33">
            <w:pPr>
              <w:pStyle w:val="ListParagraph"/>
              <w:ind w:left="0"/>
              <w:rPr>
                <w:bCs/>
              </w:rPr>
            </w:pPr>
            <w:r w:rsidRPr="008D60BE">
              <w:rPr>
                <w:bCs/>
              </w:rPr>
              <w:t>Public Counsel</w:t>
            </w:r>
          </w:p>
        </w:tc>
        <w:tc>
          <w:tcPr>
            <w:tcW w:w="4950" w:type="dxa"/>
            <w:shd w:val="clear" w:color="auto" w:fill="auto"/>
          </w:tcPr>
          <w:p w14:paraId="0B57DCA2" w14:textId="17E86798" w:rsidR="00DE25BA" w:rsidRPr="008D60BE" w:rsidRDefault="003806F5" w:rsidP="005E7B33">
            <w:pPr>
              <w:pStyle w:val="ListParagraph"/>
              <w:ind w:left="0"/>
              <w:rPr>
                <w:bCs/>
              </w:rPr>
            </w:pPr>
            <w:r>
              <w:rPr>
                <w:bCs/>
              </w:rPr>
              <w:t>Kai Hiatt</w:t>
            </w:r>
          </w:p>
        </w:tc>
      </w:tr>
      <w:tr w:rsidR="00DE25BA" w:rsidRPr="008D60BE" w14:paraId="4302B46C" w14:textId="77777777" w:rsidTr="005E7B33">
        <w:trPr>
          <w:jc w:val="center"/>
        </w:trPr>
        <w:tc>
          <w:tcPr>
            <w:tcW w:w="5400" w:type="dxa"/>
            <w:shd w:val="clear" w:color="auto" w:fill="auto"/>
          </w:tcPr>
          <w:p w14:paraId="613691B7" w14:textId="77777777" w:rsidR="00DE25BA" w:rsidRPr="008D60BE" w:rsidRDefault="00DE25BA" w:rsidP="005E7B33">
            <w:pPr>
              <w:pStyle w:val="ListParagraph"/>
              <w:ind w:left="0"/>
              <w:rPr>
                <w:bCs/>
              </w:rPr>
            </w:pPr>
            <w:r w:rsidRPr="008D60BE">
              <w:rPr>
                <w:bCs/>
              </w:rPr>
              <w:t>NW Energy Coalition</w:t>
            </w:r>
          </w:p>
        </w:tc>
        <w:tc>
          <w:tcPr>
            <w:tcW w:w="4950" w:type="dxa"/>
            <w:shd w:val="clear" w:color="auto" w:fill="auto"/>
          </w:tcPr>
          <w:p w14:paraId="05810DFF" w14:textId="77777777" w:rsidR="00DE25BA" w:rsidRPr="008D60BE" w:rsidRDefault="00DE25BA" w:rsidP="005E7B33">
            <w:pPr>
              <w:pStyle w:val="ListParagraph"/>
              <w:ind w:left="0"/>
              <w:rPr>
                <w:bCs/>
              </w:rPr>
            </w:pPr>
            <w:r w:rsidRPr="008D60BE">
              <w:rPr>
                <w:bCs/>
              </w:rPr>
              <w:t>Charlee Thompson</w:t>
            </w:r>
          </w:p>
        </w:tc>
      </w:tr>
      <w:tr w:rsidR="00DE25BA" w:rsidRPr="008D60BE" w14:paraId="7B6C7201" w14:textId="77777777" w:rsidTr="005E7B33">
        <w:trPr>
          <w:jc w:val="center"/>
        </w:trPr>
        <w:tc>
          <w:tcPr>
            <w:tcW w:w="5400" w:type="dxa"/>
            <w:tcBorders>
              <w:bottom w:val="single" w:sz="4" w:space="0" w:color="auto"/>
            </w:tcBorders>
            <w:shd w:val="clear" w:color="auto" w:fill="auto"/>
          </w:tcPr>
          <w:p w14:paraId="59D06355" w14:textId="77777777" w:rsidR="00DE25BA" w:rsidRPr="008D60BE" w:rsidRDefault="00DE25BA" w:rsidP="005E7B33">
            <w:pPr>
              <w:pStyle w:val="ListParagraph"/>
              <w:ind w:left="0"/>
              <w:rPr>
                <w:bCs/>
              </w:rPr>
            </w:pPr>
            <w:r w:rsidRPr="008D60BE">
              <w:rPr>
                <w:bCs/>
              </w:rPr>
              <w:t>Department of Commerce</w:t>
            </w:r>
          </w:p>
        </w:tc>
        <w:tc>
          <w:tcPr>
            <w:tcW w:w="4950" w:type="dxa"/>
            <w:tcBorders>
              <w:bottom w:val="single" w:sz="4" w:space="0" w:color="auto"/>
            </w:tcBorders>
            <w:shd w:val="clear" w:color="auto" w:fill="auto"/>
          </w:tcPr>
          <w:p w14:paraId="2A7F9463" w14:textId="77777777" w:rsidR="00DE25BA" w:rsidRPr="008D60BE" w:rsidRDefault="00DE25BA" w:rsidP="005E7B33">
            <w:pPr>
              <w:pStyle w:val="ListParagraph"/>
              <w:ind w:left="0"/>
              <w:rPr>
                <w:bCs/>
              </w:rPr>
            </w:pPr>
            <w:r w:rsidRPr="008D60BE">
              <w:rPr>
                <w:bCs/>
              </w:rPr>
              <w:t>Michelle DeBell</w:t>
            </w:r>
          </w:p>
        </w:tc>
      </w:tr>
      <w:tr w:rsidR="00DE25BA" w:rsidRPr="008D60BE" w14:paraId="456CA980" w14:textId="77777777" w:rsidTr="005E7B33">
        <w:trPr>
          <w:jc w:val="center"/>
        </w:trPr>
        <w:tc>
          <w:tcPr>
            <w:tcW w:w="5400" w:type="dxa"/>
            <w:tcBorders>
              <w:right w:val="nil"/>
            </w:tcBorders>
            <w:shd w:val="clear" w:color="auto" w:fill="D9D9D9" w:themeFill="background1" w:themeFillShade="D9"/>
          </w:tcPr>
          <w:p w14:paraId="0A5E7A9D" w14:textId="77777777" w:rsidR="00DE25BA" w:rsidRPr="008D60BE" w:rsidRDefault="00DE25BA" w:rsidP="005E7B33">
            <w:pPr>
              <w:pStyle w:val="ListParagraph"/>
              <w:ind w:left="0"/>
              <w:rPr>
                <w:b/>
              </w:rPr>
            </w:pPr>
            <w:r w:rsidRPr="008D60BE">
              <w:rPr>
                <w:b/>
              </w:rPr>
              <w:t>Cascade Natural Gas</w:t>
            </w:r>
          </w:p>
        </w:tc>
        <w:tc>
          <w:tcPr>
            <w:tcW w:w="4950" w:type="dxa"/>
            <w:tcBorders>
              <w:left w:val="nil"/>
            </w:tcBorders>
            <w:shd w:val="clear" w:color="auto" w:fill="D9D9D9" w:themeFill="background1" w:themeFillShade="D9"/>
          </w:tcPr>
          <w:p w14:paraId="6592A263" w14:textId="77777777" w:rsidR="00DE25BA" w:rsidRPr="008D60BE" w:rsidRDefault="00DE25BA" w:rsidP="005E7B33">
            <w:pPr>
              <w:pStyle w:val="ListParagraph"/>
              <w:ind w:left="0"/>
              <w:rPr>
                <w:b/>
              </w:rPr>
            </w:pPr>
          </w:p>
        </w:tc>
      </w:tr>
      <w:tr w:rsidR="00DE25BA" w:rsidRPr="00BD08D3" w14:paraId="2CD76265" w14:textId="77777777" w:rsidTr="005E7B33">
        <w:trPr>
          <w:jc w:val="center"/>
        </w:trPr>
        <w:tc>
          <w:tcPr>
            <w:tcW w:w="5400" w:type="dxa"/>
          </w:tcPr>
          <w:p w14:paraId="74AF5ECD" w14:textId="439D6C32" w:rsidR="00DE25BA" w:rsidRPr="00BD08D3" w:rsidRDefault="0027706A" w:rsidP="005E7B33">
            <w:pPr>
              <w:pStyle w:val="ListParagraph"/>
              <w:ind w:left="0"/>
            </w:pPr>
            <w:r w:rsidRPr="00BD08D3">
              <w:t xml:space="preserve">Dan Tillis, Dir Customer </w:t>
            </w:r>
            <w:r>
              <w:t>Experience</w:t>
            </w:r>
          </w:p>
        </w:tc>
        <w:tc>
          <w:tcPr>
            <w:tcW w:w="4950" w:type="dxa"/>
            <w:tcBorders>
              <w:bottom w:val="single" w:sz="4" w:space="0" w:color="auto"/>
            </w:tcBorders>
          </w:tcPr>
          <w:p w14:paraId="06D4CD5F" w14:textId="77777777" w:rsidR="00DE25BA" w:rsidRPr="00BD08D3" w:rsidRDefault="00DE25BA" w:rsidP="005E7B33">
            <w:pPr>
              <w:pStyle w:val="ListParagraph"/>
              <w:ind w:left="0"/>
            </w:pPr>
            <w:r>
              <w:t>Lori Blattner, Dir Regulatory Affairs</w:t>
            </w:r>
          </w:p>
        </w:tc>
      </w:tr>
      <w:tr w:rsidR="0027706A" w:rsidRPr="00BD08D3" w14:paraId="42B35EB3" w14:textId="77777777" w:rsidTr="005E7B33">
        <w:trPr>
          <w:jc w:val="center"/>
        </w:trPr>
        <w:tc>
          <w:tcPr>
            <w:tcW w:w="5400" w:type="dxa"/>
          </w:tcPr>
          <w:p w14:paraId="5DE68EF6" w14:textId="7B3E443B" w:rsidR="0027706A" w:rsidRPr="00BD08D3" w:rsidRDefault="0027706A" w:rsidP="0027706A">
            <w:pPr>
              <w:pStyle w:val="ListParagraph"/>
              <w:ind w:left="0"/>
              <w:rPr>
                <w:b/>
              </w:rPr>
            </w:pPr>
            <w:r>
              <w:t>Teri Sovak, Mgr Customer Service, Credit &amp; Collections</w:t>
            </w:r>
          </w:p>
        </w:tc>
        <w:tc>
          <w:tcPr>
            <w:tcW w:w="4950" w:type="dxa"/>
            <w:tcBorders>
              <w:bottom w:val="single" w:sz="4" w:space="0" w:color="auto"/>
            </w:tcBorders>
          </w:tcPr>
          <w:p w14:paraId="71075E23" w14:textId="77777777" w:rsidR="0027706A" w:rsidRPr="00BD08D3" w:rsidRDefault="0027706A" w:rsidP="0027706A">
            <w:pPr>
              <w:pStyle w:val="ListParagraph"/>
              <w:ind w:left="0"/>
            </w:pPr>
            <w:r>
              <w:t>Noemi Ortiz, Mgr OR Conservation &amp; Weatherization</w:t>
            </w:r>
          </w:p>
        </w:tc>
      </w:tr>
      <w:tr w:rsidR="0027706A" w:rsidRPr="00BD08D3" w14:paraId="6A78CB82" w14:textId="77777777" w:rsidTr="005E7B33">
        <w:trPr>
          <w:jc w:val="center"/>
        </w:trPr>
        <w:tc>
          <w:tcPr>
            <w:tcW w:w="5400" w:type="dxa"/>
          </w:tcPr>
          <w:p w14:paraId="7644C7C6" w14:textId="5F164315" w:rsidR="0027706A" w:rsidRPr="00BD08D3" w:rsidRDefault="0027706A" w:rsidP="0027706A">
            <w:pPr>
              <w:pStyle w:val="ListParagraph"/>
              <w:ind w:left="0"/>
            </w:pPr>
            <w:r w:rsidRPr="00BD08D3">
              <w:rPr>
                <w:bCs/>
              </w:rPr>
              <w:t>Shannon Steed, Consumer Specialist</w:t>
            </w:r>
          </w:p>
        </w:tc>
        <w:tc>
          <w:tcPr>
            <w:tcW w:w="4950" w:type="dxa"/>
            <w:shd w:val="clear" w:color="auto" w:fill="auto"/>
          </w:tcPr>
          <w:p w14:paraId="47B0F376" w14:textId="731E594D" w:rsidR="0027706A" w:rsidRPr="00BD08D3" w:rsidRDefault="0027706A" w:rsidP="0027706A">
            <w:pPr>
              <w:pStyle w:val="ListParagraph"/>
              <w:ind w:left="0"/>
            </w:pPr>
            <w:r>
              <w:t xml:space="preserve">Jennifer Gross, </w:t>
            </w:r>
            <w:r w:rsidR="00155755">
              <w:t xml:space="preserve">Mgr </w:t>
            </w:r>
            <w:r>
              <w:t xml:space="preserve">Regulatory </w:t>
            </w:r>
            <w:r w:rsidR="00155755">
              <w:t>Affairs</w:t>
            </w:r>
          </w:p>
        </w:tc>
      </w:tr>
      <w:tr w:rsidR="00CB7909" w:rsidRPr="00BD08D3" w14:paraId="7254253A" w14:textId="77777777" w:rsidTr="005E7B33">
        <w:trPr>
          <w:jc w:val="center"/>
        </w:trPr>
        <w:tc>
          <w:tcPr>
            <w:tcW w:w="5400" w:type="dxa"/>
          </w:tcPr>
          <w:p w14:paraId="4B1A82E2" w14:textId="3FC46FCC" w:rsidR="00CB7909" w:rsidRPr="00BD08D3" w:rsidRDefault="00CB7909" w:rsidP="0027706A">
            <w:pPr>
              <w:pStyle w:val="ListParagraph"/>
              <w:ind w:left="0"/>
              <w:rPr>
                <w:bCs/>
              </w:rPr>
            </w:pPr>
            <w:r>
              <w:rPr>
                <w:bCs/>
              </w:rPr>
              <w:t>Rodney Fowler, Business Analyst</w:t>
            </w:r>
          </w:p>
        </w:tc>
        <w:tc>
          <w:tcPr>
            <w:tcW w:w="4950" w:type="dxa"/>
            <w:shd w:val="clear" w:color="auto" w:fill="auto"/>
          </w:tcPr>
          <w:p w14:paraId="531BF35D" w14:textId="77777777" w:rsidR="00CB7909" w:rsidRDefault="00CB7909" w:rsidP="0027706A">
            <w:pPr>
              <w:pStyle w:val="ListParagraph"/>
              <w:ind w:left="0"/>
            </w:pPr>
          </w:p>
        </w:tc>
      </w:tr>
    </w:tbl>
    <w:p w14:paraId="3D75582D" w14:textId="77777777" w:rsidR="00A9204E" w:rsidRDefault="00A9204E"/>
    <w:p w14:paraId="184A1027" w14:textId="7888C51D" w:rsidR="00A05EE6" w:rsidRDefault="00A05EE6" w:rsidP="00D914A2">
      <w:pPr>
        <w:pStyle w:val="ListParagraph"/>
        <w:numPr>
          <w:ilvl w:val="0"/>
          <w:numId w:val="25"/>
        </w:numPr>
      </w:pPr>
      <w:r>
        <w:t>CARES enrollment numbers</w:t>
      </w:r>
    </w:p>
    <w:p w14:paraId="43649732" w14:textId="083DBE16" w:rsidR="002F00B2" w:rsidRDefault="002F00B2" w:rsidP="00D914A2">
      <w:pPr>
        <w:pStyle w:val="ListParagraph"/>
        <w:numPr>
          <w:ilvl w:val="0"/>
          <w:numId w:val="25"/>
        </w:numPr>
      </w:pPr>
      <w:r>
        <w:t>Follow up item</w:t>
      </w:r>
    </w:p>
    <w:p w14:paraId="1E219A6D" w14:textId="01006C0C" w:rsidR="002F00B2" w:rsidRDefault="002F00B2" w:rsidP="00A05EE6">
      <w:pPr>
        <w:pStyle w:val="ListParagraph"/>
        <w:numPr>
          <w:ilvl w:val="1"/>
          <w:numId w:val="25"/>
        </w:numPr>
      </w:pPr>
      <w:r>
        <w:t>LIHEAP calculation method (Shay)</w:t>
      </w:r>
    </w:p>
    <w:p w14:paraId="4314852F" w14:textId="58184ED3" w:rsidR="00EA0B9D" w:rsidRDefault="00A05EE6" w:rsidP="00D914A2">
      <w:pPr>
        <w:pStyle w:val="ListParagraph"/>
        <w:numPr>
          <w:ilvl w:val="0"/>
          <w:numId w:val="25"/>
        </w:numPr>
      </w:pPr>
      <w:r>
        <w:t>Collections</w:t>
      </w:r>
      <w:r w:rsidR="00D914A2">
        <w:t xml:space="preserve"> process</w:t>
      </w:r>
      <w:r>
        <w:t xml:space="preserve"> and</w:t>
      </w:r>
      <w:r w:rsidR="00D914A2">
        <w:t xml:space="preserve"> communications</w:t>
      </w:r>
    </w:p>
    <w:p w14:paraId="7B5F251C" w14:textId="02852C20" w:rsidR="00E420AC" w:rsidRDefault="00E420AC" w:rsidP="00E420AC">
      <w:pPr>
        <w:pStyle w:val="ListParagraph"/>
        <w:numPr>
          <w:ilvl w:val="0"/>
          <w:numId w:val="25"/>
        </w:numPr>
      </w:pPr>
      <w:r>
        <w:t xml:space="preserve">Open </w:t>
      </w:r>
      <w:r w:rsidR="00A05EE6">
        <w:t>d</w:t>
      </w:r>
      <w:r>
        <w:t>iscussion</w:t>
      </w:r>
    </w:p>
    <w:p w14:paraId="29DF3B54" w14:textId="77777777" w:rsidR="00371B8E" w:rsidRDefault="00371B8E" w:rsidP="00371B8E"/>
    <w:p w14:paraId="619CB2C6" w14:textId="77777777" w:rsidR="00371B8E" w:rsidRPr="00371B8E" w:rsidRDefault="00371B8E" w:rsidP="00371B8E">
      <w:r w:rsidRPr="00371B8E">
        <w:t>Generated by AI. Be sure to check for accuracy.</w:t>
      </w:r>
    </w:p>
    <w:p w14:paraId="53833B75" w14:textId="77777777" w:rsidR="00371B8E" w:rsidRPr="00371B8E" w:rsidRDefault="00371B8E" w:rsidP="00371B8E">
      <w:r w:rsidRPr="00371B8E">
        <w:t>Meeting notes:</w:t>
      </w:r>
    </w:p>
    <w:p w14:paraId="73EA9F96" w14:textId="40231B96" w:rsidR="006007D4" w:rsidRPr="00371B8E" w:rsidRDefault="00371B8E" w:rsidP="006007D4">
      <w:pPr>
        <w:numPr>
          <w:ilvl w:val="1"/>
          <w:numId w:val="27"/>
        </w:numPr>
      </w:pPr>
      <w:r w:rsidRPr="00371B8E">
        <w:rPr>
          <w:b/>
          <w:bCs/>
        </w:rPr>
        <w:t xml:space="preserve">CARES Enrollment Numbers: </w:t>
      </w:r>
      <w:r w:rsidRPr="00371B8E">
        <w:t xml:space="preserve">Dan shared the current CARES enrollment numbers, highlighting that 16,853 customers are enrolled in the bill discount rate program, which represents a 28% penetration rate of the </w:t>
      </w:r>
      <w:r w:rsidR="008F2298">
        <w:t>estimated</w:t>
      </w:r>
      <w:r w:rsidR="00155755" w:rsidRPr="00371B8E">
        <w:t xml:space="preserve"> </w:t>
      </w:r>
      <w:r w:rsidRPr="00371B8E">
        <w:t>income-qualified population</w:t>
      </w:r>
      <w:r w:rsidR="006007D4">
        <w:t xml:space="preserve"> of 59,909 provided in the Low-Income Needs Assessment conducted in 2022/2023</w:t>
      </w:r>
      <w:r w:rsidRPr="00371B8E">
        <w:t xml:space="preserve">. </w:t>
      </w:r>
      <w:r w:rsidR="006007D4" w:rsidRPr="00371B8E">
        <w:t>This data will be shared at the beginning of each meeting to keep everyone updated.</w:t>
      </w:r>
      <w:r w:rsidR="006007D4">
        <w:t xml:space="preserve"> </w:t>
      </w:r>
      <w:r w:rsidRPr="00371B8E">
        <w:t>Charlee congratulated the team on the progress, noting the increase from 2</w:t>
      </w:r>
      <w:r w:rsidR="006007D4">
        <w:t>2</w:t>
      </w:r>
      <w:r w:rsidRPr="00371B8E">
        <w:t xml:space="preserve">% </w:t>
      </w:r>
      <w:r w:rsidR="006007D4">
        <w:t>in February</w:t>
      </w:r>
      <w:r w:rsidRPr="00371B8E">
        <w:t>.</w:t>
      </w:r>
      <w:r w:rsidR="006007D4">
        <w:t xml:space="preserve"> </w:t>
      </w:r>
      <w:r w:rsidR="006007D4" w:rsidRPr="00371B8E">
        <w:t>Daniel acknowledged this improvement and expressed optimism about reaching close to 30% by the end of June.</w:t>
      </w:r>
    </w:p>
    <w:p w14:paraId="73CCAF09" w14:textId="4D99F67D" w:rsidR="00371B8E" w:rsidRPr="00371B8E" w:rsidRDefault="00371B8E" w:rsidP="00D3744D"/>
    <w:p w14:paraId="0E63E98E" w14:textId="05C6AAD2" w:rsidR="00371B8E" w:rsidRPr="00371B8E" w:rsidRDefault="00371B8E" w:rsidP="00371B8E">
      <w:pPr>
        <w:numPr>
          <w:ilvl w:val="0"/>
          <w:numId w:val="27"/>
        </w:numPr>
      </w:pPr>
      <w:r w:rsidRPr="00371B8E">
        <w:rPr>
          <w:b/>
          <w:bCs/>
        </w:rPr>
        <w:t xml:space="preserve">LIHEAP Calculation Updates: </w:t>
      </w:r>
      <w:r w:rsidRPr="00371B8E">
        <w:t xml:space="preserve">Shaylee Stokes provided an update on the potential changes to the LIHEAP calculation, mentioning that no specific guidance is available yet, but </w:t>
      </w:r>
      <w:r w:rsidR="006007D4">
        <w:t>s</w:t>
      </w:r>
      <w:r w:rsidR="006007D4" w:rsidRPr="00371B8E">
        <w:t xml:space="preserve">he discussed the topic with Brian </w:t>
      </w:r>
      <w:r w:rsidR="00155755">
        <w:t xml:space="preserve">from the Washington State Department of Commerce </w:t>
      </w:r>
      <w:r w:rsidR="006007D4">
        <w:t xml:space="preserve">and any </w:t>
      </w:r>
      <w:r w:rsidRPr="00371B8E">
        <w:t xml:space="preserve">changes would be recommended for the following season starting October 1st. Shaylee plans to have another conversation with agencies in July to </w:t>
      </w:r>
      <w:r w:rsidR="00155755">
        <w:t>finalize</w:t>
      </w:r>
      <w:r w:rsidRPr="00371B8E">
        <w:t xml:space="preserve"> the details</w:t>
      </w:r>
      <w:r w:rsidR="006007D4">
        <w:t xml:space="preserve"> and requested to have the topic on the July Cares Advisory Group agenda for further discussion</w:t>
      </w:r>
      <w:r w:rsidRPr="00371B8E">
        <w:t>.</w:t>
      </w:r>
    </w:p>
    <w:p w14:paraId="41FA2A0E" w14:textId="3DA0892A" w:rsidR="00371B8E" w:rsidRPr="00371B8E" w:rsidRDefault="00371B8E" w:rsidP="00371B8E">
      <w:pPr>
        <w:numPr>
          <w:ilvl w:val="0"/>
          <w:numId w:val="27"/>
        </w:numPr>
      </w:pPr>
      <w:r w:rsidRPr="00371B8E">
        <w:rPr>
          <w:b/>
          <w:bCs/>
        </w:rPr>
        <w:t xml:space="preserve">Credit Collections Processes: </w:t>
      </w:r>
      <w:r w:rsidRPr="00371B8E">
        <w:t xml:space="preserve">Teri Sovak presented Cascade's credit </w:t>
      </w:r>
      <w:r w:rsidR="006007D4">
        <w:t xml:space="preserve">and </w:t>
      </w:r>
      <w:r w:rsidRPr="00371B8E">
        <w:t>collections processes, explaining the three-path programming that determines the risk level of accounts and the various communication methods used to reach customers. The goal is to prevent disconnection and encourage payment arrangements.</w:t>
      </w:r>
    </w:p>
    <w:p w14:paraId="352C3D18" w14:textId="0636D75C" w:rsidR="00371B8E" w:rsidRPr="00371B8E" w:rsidRDefault="00371B8E" w:rsidP="00371B8E">
      <w:pPr>
        <w:numPr>
          <w:ilvl w:val="1"/>
          <w:numId w:val="27"/>
        </w:numPr>
      </w:pPr>
      <w:r w:rsidRPr="00371B8E">
        <w:rPr>
          <w:b/>
          <w:bCs/>
        </w:rPr>
        <w:t xml:space="preserve">Three-Path Programming: </w:t>
      </w:r>
      <w:r w:rsidRPr="00371B8E">
        <w:t xml:space="preserve">The </w:t>
      </w:r>
      <w:r w:rsidR="00155755" w:rsidRPr="00371B8E">
        <w:t xml:space="preserve">three-path programming </w:t>
      </w:r>
      <w:r w:rsidRPr="00371B8E">
        <w:t xml:space="preserve">paths include low risk, medium risk, and high risk, each with different communication methods to reach customers and encourage </w:t>
      </w:r>
      <w:r w:rsidR="00155755">
        <w:t>resolution of the amount due.</w:t>
      </w:r>
    </w:p>
    <w:p w14:paraId="7D308BAB" w14:textId="77777777" w:rsidR="00371B8E" w:rsidRPr="00371B8E" w:rsidRDefault="00371B8E" w:rsidP="00371B8E">
      <w:pPr>
        <w:numPr>
          <w:ilvl w:val="1"/>
          <w:numId w:val="27"/>
        </w:numPr>
      </w:pPr>
      <w:r w:rsidRPr="00371B8E">
        <w:rPr>
          <w:b/>
          <w:bCs/>
        </w:rPr>
        <w:t xml:space="preserve">Communication Methods: </w:t>
      </w:r>
      <w:r w:rsidRPr="00371B8E">
        <w:t>Teri detailed the various communication methods used to reach customers, including automated calls, reminder emails, friendly reminder letters, and disconnection notices. The goal is to prevent disconnection and encourage customers to make payment arrangements.</w:t>
      </w:r>
    </w:p>
    <w:p w14:paraId="4A6B2A0A" w14:textId="77777777" w:rsidR="00371B8E" w:rsidRPr="00371B8E" w:rsidRDefault="00371B8E" w:rsidP="00371B8E">
      <w:pPr>
        <w:numPr>
          <w:ilvl w:val="1"/>
          <w:numId w:val="27"/>
        </w:numPr>
      </w:pPr>
      <w:r w:rsidRPr="00371B8E">
        <w:rPr>
          <w:b/>
          <w:bCs/>
        </w:rPr>
        <w:t xml:space="preserve">Risk Assessment: </w:t>
      </w:r>
      <w:r w:rsidRPr="00371B8E">
        <w:t>The risk assessment for accounts is based on factors such as the age of the debt, the number of days since the last payment, the amount of the last payment, and days in service at the premise. This assessment helps determine the appropriate path for each account.</w:t>
      </w:r>
    </w:p>
    <w:p w14:paraId="0C38927C" w14:textId="00F0A756" w:rsidR="00371B8E" w:rsidRPr="00371B8E" w:rsidRDefault="00371B8E" w:rsidP="00371B8E">
      <w:pPr>
        <w:numPr>
          <w:ilvl w:val="1"/>
          <w:numId w:val="27"/>
        </w:numPr>
      </w:pPr>
      <w:r w:rsidRPr="00371B8E">
        <w:rPr>
          <w:b/>
          <w:bCs/>
        </w:rPr>
        <w:t xml:space="preserve">Feedback: </w:t>
      </w:r>
      <w:r w:rsidRPr="00371B8E">
        <w:t>Shaylee Stokes appreciated the three-path programming and noted that it reduces the likelihood of cycling customers into crisis repeatedly. She highlighted the importance of not storing behavior scores, which differentiates Cascade from other utilities.</w:t>
      </w:r>
    </w:p>
    <w:p w14:paraId="71585225" w14:textId="77777777" w:rsidR="00371B8E" w:rsidRDefault="00371B8E" w:rsidP="00371B8E">
      <w:pPr>
        <w:numPr>
          <w:ilvl w:val="1"/>
          <w:numId w:val="27"/>
        </w:numPr>
      </w:pPr>
      <w:r w:rsidRPr="00371B8E">
        <w:rPr>
          <w:b/>
          <w:bCs/>
        </w:rPr>
        <w:t xml:space="preserve">Disconnection Process: </w:t>
      </w:r>
      <w:r w:rsidRPr="00371B8E">
        <w:t>Teri described the disconnection process for high-risk accounts, including the steps taken before disconnection, such as automated calls, disconnection notices, urgent notices, and personal agent-led outbound calls. The process aims to provide multiple opportunities for customers to avoid disconnection.</w:t>
      </w:r>
    </w:p>
    <w:p w14:paraId="09504073" w14:textId="3C49FB6C" w:rsidR="00F82ED7" w:rsidRPr="00371B8E" w:rsidRDefault="00F82ED7" w:rsidP="00371B8E">
      <w:pPr>
        <w:numPr>
          <w:ilvl w:val="1"/>
          <w:numId w:val="27"/>
        </w:numPr>
      </w:pPr>
      <w:r w:rsidRPr="00371B8E">
        <w:rPr>
          <w:b/>
          <w:bCs/>
        </w:rPr>
        <w:t xml:space="preserve">Automated Message Improvement: </w:t>
      </w:r>
      <w:r>
        <w:t>Shay suggested r</w:t>
      </w:r>
      <w:r w:rsidRPr="00371B8E">
        <w:t>evis</w:t>
      </w:r>
      <w:r>
        <w:t>ing</w:t>
      </w:r>
      <w:r w:rsidRPr="00371B8E">
        <w:t xml:space="preserve"> the automated disconnection message to include references to affordability programs and discounts to encourage customers to explore assistance options.</w:t>
      </w:r>
    </w:p>
    <w:p w14:paraId="645450FF" w14:textId="717A61F1" w:rsidR="00371B8E" w:rsidRPr="00371B8E" w:rsidRDefault="00371B8E" w:rsidP="008F2298">
      <w:pPr>
        <w:numPr>
          <w:ilvl w:val="1"/>
          <w:numId w:val="27"/>
        </w:numPr>
      </w:pPr>
      <w:r w:rsidRPr="00371B8E">
        <w:rPr>
          <w:b/>
          <w:bCs/>
        </w:rPr>
        <w:t xml:space="preserve">Disconnection Trends and Follow-Up: </w:t>
      </w:r>
      <w:r w:rsidRPr="00371B8E">
        <w:t xml:space="preserve">Shaylee Stokes requested a follow-up conversation to review disconnection trends, including demographic characteristics, geographic trends, and multiple disconnections. </w:t>
      </w:r>
      <w:r w:rsidR="006007D4" w:rsidRPr="00371B8E">
        <w:t>She emphasized the importance of understanding these trends to improve the process and reduce disconnections</w:t>
      </w:r>
      <w:r w:rsidR="006007D4">
        <w:t xml:space="preserve">. </w:t>
      </w:r>
      <w:r w:rsidRPr="00371B8E">
        <w:t xml:space="preserve">Dan suggested working with Hassan Shaban </w:t>
      </w:r>
      <w:r w:rsidR="006007D4">
        <w:t xml:space="preserve">from Empower Dataworks to include this type of information in the </w:t>
      </w:r>
      <w:r w:rsidRPr="00371B8E">
        <w:t xml:space="preserve"> updated energy burden assessment </w:t>
      </w:r>
      <w:r w:rsidR="006007D4">
        <w:t xml:space="preserve">that should be completed by the end of the year. </w:t>
      </w:r>
      <w:r w:rsidRPr="00371B8E">
        <w:t>to include disconnect data and trends.</w:t>
      </w:r>
    </w:p>
    <w:p w14:paraId="11B434B6" w14:textId="13F4BEA0" w:rsidR="00371B8E" w:rsidRPr="00371B8E" w:rsidRDefault="00371B8E" w:rsidP="00D3744D">
      <w:pPr>
        <w:ind w:left="1440"/>
      </w:pPr>
    </w:p>
    <w:p w14:paraId="0D39E8D0" w14:textId="77777777" w:rsidR="00D3744D" w:rsidRDefault="00371B8E" w:rsidP="00371B8E">
      <w:pPr>
        <w:numPr>
          <w:ilvl w:val="0"/>
          <w:numId w:val="27"/>
        </w:numPr>
      </w:pPr>
      <w:r w:rsidRPr="00371B8E">
        <w:rPr>
          <w:b/>
          <w:bCs/>
        </w:rPr>
        <w:t xml:space="preserve">Open Discussion: </w:t>
      </w:r>
      <w:r w:rsidRPr="00371B8E">
        <w:t>Dan opened the floor for open discussion, but no additional topics or questions were raised. He emphasized the company's goal to keep customers connected to their natural gas service and thanked everyone for their participation.</w:t>
      </w:r>
    </w:p>
    <w:p w14:paraId="5F1BC4BA" w14:textId="367DA544" w:rsidR="00371B8E" w:rsidRPr="00371B8E" w:rsidRDefault="00371B8E" w:rsidP="00D3744D">
      <w:r w:rsidRPr="00371B8E">
        <w:t>Follow-up tasks:</w:t>
      </w:r>
    </w:p>
    <w:p w14:paraId="47570DEE" w14:textId="67EA5DCF" w:rsidR="00371B8E" w:rsidRPr="00371B8E" w:rsidRDefault="00371B8E" w:rsidP="00371B8E">
      <w:pPr>
        <w:numPr>
          <w:ilvl w:val="0"/>
          <w:numId w:val="28"/>
        </w:numPr>
      </w:pPr>
      <w:r w:rsidRPr="00371B8E">
        <w:rPr>
          <w:b/>
          <w:bCs/>
        </w:rPr>
        <w:t xml:space="preserve">LIHEAP Calculation Update: </w:t>
      </w:r>
      <w:r w:rsidR="00F82ED7">
        <w:t>Schedule</w:t>
      </w:r>
      <w:r w:rsidR="00F82ED7" w:rsidRPr="00371B8E">
        <w:t xml:space="preserve"> </w:t>
      </w:r>
      <w:r w:rsidRPr="00371B8E">
        <w:t>a meeting with Brian</w:t>
      </w:r>
      <w:r w:rsidR="00155755">
        <w:t xml:space="preserve"> Sarensen of Commerce</w:t>
      </w:r>
      <w:r w:rsidRPr="00371B8E">
        <w:t xml:space="preserve"> and the agencies to discuss potential changes to the LIHEAP calculation for the October 1st program year. (Shaylee Stokes)</w:t>
      </w:r>
    </w:p>
    <w:p w14:paraId="71BE2EB0" w14:textId="251DB288" w:rsidR="00371B8E" w:rsidRPr="00371B8E" w:rsidRDefault="00371B8E" w:rsidP="00371B8E">
      <w:pPr>
        <w:numPr>
          <w:ilvl w:val="0"/>
          <w:numId w:val="28"/>
        </w:numPr>
      </w:pPr>
      <w:r w:rsidRPr="00371B8E">
        <w:rPr>
          <w:b/>
          <w:bCs/>
        </w:rPr>
        <w:t xml:space="preserve">LIHEAP Calculation Update: </w:t>
      </w:r>
      <w:r w:rsidRPr="00371B8E">
        <w:t>Move the discussion on LIHEAP calculation changes to the July CARES agenda. (</w:t>
      </w:r>
      <w:r w:rsidR="00F82ED7">
        <w:t>Shannon</w:t>
      </w:r>
      <w:r w:rsidRPr="00371B8E">
        <w:t>)</w:t>
      </w:r>
    </w:p>
    <w:p w14:paraId="2811FDDD" w14:textId="7F56C732" w:rsidR="00371B8E" w:rsidRPr="00371B8E" w:rsidRDefault="00371B8E" w:rsidP="00371B8E">
      <w:pPr>
        <w:numPr>
          <w:ilvl w:val="0"/>
          <w:numId w:val="28"/>
        </w:numPr>
      </w:pPr>
      <w:r w:rsidRPr="00371B8E">
        <w:rPr>
          <w:b/>
          <w:bCs/>
        </w:rPr>
        <w:t xml:space="preserve">Disconnection Practices Review: </w:t>
      </w:r>
      <w:r w:rsidRPr="00371B8E">
        <w:t>Schedule a follow-up meeting to review disconnection data, including trends, multiple disconnections, and demographic characteristics of disconnected customers. (Teri, Dan)</w:t>
      </w:r>
    </w:p>
    <w:p w14:paraId="70545699" w14:textId="77777777" w:rsidR="00371B8E" w:rsidRDefault="00371B8E" w:rsidP="00371B8E"/>
    <w:sectPr w:rsidR="00371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1C513E"/>
    <w:multiLevelType w:val="multilevel"/>
    <w:tmpl w:val="07BE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BF7039A"/>
    <w:multiLevelType w:val="multilevel"/>
    <w:tmpl w:val="C81A2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88C1321"/>
    <w:multiLevelType w:val="hybridMultilevel"/>
    <w:tmpl w:val="45788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743695"/>
    <w:multiLevelType w:val="hybridMultilevel"/>
    <w:tmpl w:val="0CB4BA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1A51A8"/>
    <w:multiLevelType w:val="hybridMultilevel"/>
    <w:tmpl w:val="D31A3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177554">
    <w:abstractNumId w:val="21"/>
  </w:num>
  <w:num w:numId="2" w16cid:durableId="622033251">
    <w:abstractNumId w:val="12"/>
  </w:num>
  <w:num w:numId="3" w16cid:durableId="39668940">
    <w:abstractNumId w:val="10"/>
  </w:num>
  <w:num w:numId="4" w16cid:durableId="1947274757">
    <w:abstractNumId w:val="24"/>
  </w:num>
  <w:num w:numId="5" w16cid:durableId="359549631">
    <w:abstractNumId w:val="14"/>
  </w:num>
  <w:num w:numId="6" w16cid:durableId="896285323">
    <w:abstractNumId w:val="17"/>
  </w:num>
  <w:num w:numId="7" w16cid:durableId="829102100">
    <w:abstractNumId w:val="19"/>
  </w:num>
  <w:num w:numId="8" w16cid:durableId="45372011">
    <w:abstractNumId w:val="9"/>
  </w:num>
  <w:num w:numId="9" w16cid:durableId="1852261900">
    <w:abstractNumId w:val="7"/>
  </w:num>
  <w:num w:numId="10" w16cid:durableId="1838841327">
    <w:abstractNumId w:val="6"/>
  </w:num>
  <w:num w:numId="11" w16cid:durableId="1707176565">
    <w:abstractNumId w:val="5"/>
  </w:num>
  <w:num w:numId="12" w16cid:durableId="1798837058">
    <w:abstractNumId w:val="4"/>
  </w:num>
  <w:num w:numId="13" w16cid:durableId="1404570837">
    <w:abstractNumId w:val="8"/>
  </w:num>
  <w:num w:numId="14" w16cid:durableId="732773327">
    <w:abstractNumId w:val="3"/>
  </w:num>
  <w:num w:numId="15" w16cid:durableId="237909535">
    <w:abstractNumId w:val="2"/>
  </w:num>
  <w:num w:numId="16" w16cid:durableId="1061059702">
    <w:abstractNumId w:val="1"/>
  </w:num>
  <w:num w:numId="17" w16cid:durableId="451049693">
    <w:abstractNumId w:val="0"/>
  </w:num>
  <w:num w:numId="18" w16cid:durableId="786200193">
    <w:abstractNumId w:val="15"/>
  </w:num>
  <w:num w:numId="19" w16cid:durableId="1967930718">
    <w:abstractNumId w:val="16"/>
  </w:num>
  <w:num w:numId="20" w16cid:durableId="399063954">
    <w:abstractNumId w:val="22"/>
  </w:num>
  <w:num w:numId="21" w16cid:durableId="1837569872">
    <w:abstractNumId w:val="18"/>
  </w:num>
  <w:num w:numId="22" w16cid:durableId="557398870">
    <w:abstractNumId w:val="11"/>
  </w:num>
  <w:num w:numId="23" w16cid:durableId="1668828037">
    <w:abstractNumId w:val="26"/>
  </w:num>
  <w:num w:numId="24" w16cid:durableId="745300207">
    <w:abstractNumId w:val="25"/>
  </w:num>
  <w:num w:numId="25" w16cid:durableId="1138840837">
    <w:abstractNumId w:val="23"/>
  </w:num>
  <w:num w:numId="26" w16cid:durableId="2016881799">
    <w:abstractNumId w:val="27"/>
  </w:num>
  <w:num w:numId="27" w16cid:durableId="248739482">
    <w:abstractNumId w:val="20"/>
  </w:num>
  <w:num w:numId="28" w16cid:durableId="1667174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BA"/>
    <w:rsid w:val="000A5998"/>
    <w:rsid w:val="00155755"/>
    <w:rsid w:val="001C2942"/>
    <w:rsid w:val="001C3339"/>
    <w:rsid w:val="0027706A"/>
    <w:rsid w:val="002A33A5"/>
    <w:rsid w:val="002E27D7"/>
    <w:rsid w:val="002F00B2"/>
    <w:rsid w:val="00371B8E"/>
    <w:rsid w:val="003806F5"/>
    <w:rsid w:val="00404154"/>
    <w:rsid w:val="00496BA1"/>
    <w:rsid w:val="006007D4"/>
    <w:rsid w:val="00645252"/>
    <w:rsid w:val="00670900"/>
    <w:rsid w:val="006D3D74"/>
    <w:rsid w:val="00782D57"/>
    <w:rsid w:val="0079578D"/>
    <w:rsid w:val="0083530A"/>
    <w:rsid w:val="0083569A"/>
    <w:rsid w:val="008B11D5"/>
    <w:rsid w:val="008F2298"/>
    <w:rsid w:val="0092112F"/>
    <w:rsid w:val="0096353A"/>
    <w:rsid w:val="00A04465"/>
    <w:rsid w:val="00A05EE6"/>
    <w:rsid w:val="00A5273B"/>
    <w:rsid w:val="00A9204E"/>
    <w:rsid w:val="00AA70CB"/>
    <w:rsid w:val="00B149A4"/>
    <w:rsid w:val="00C74701"/>
    <w:rsid w:val="00CB7909"/>
    <w:rsid w:val="00D3744D"/>
    <w:rsid w:val="00D76332"/>
    <w:rsid w:val="00D914A2"/>
    <w:rsid w:val="00DE25BA"/>
    <w:rsid w:val="00E420AC"/>
    <w:rsid w:val="00EA0B9D"/>
    <w:rsid w:val="00F6495B"/>
    <w:rsid w:val="00F73A8B"/>
    <w:rsid w:val="00F82ED7"/>
    <w:rsid w:val="00FA0B59"/>
    <w:rsid w:val="00FC6504"/>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D7B5"/>
  <w15:chartTrackingRefBased/>
  <w15:docId w15:val="{C386FFB1-1C7F-46CF-B508-FD02BC47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B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E25BA"/>
    <w:pPr>
      <w:ind w:left="720"/>
      <w:contextualSpacing/>
    </w:pPr>
  </w:style>
  <w:style w:type="table" w:styleId="TableGrid">
    <w:name w:val="Table Grid"/>
    <w:basedOn w:val="TableNormal"/>
    <w:uiPriority w:val="59"/>
    <w:rsid w:val="00DE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1005">
      <w:bodyDiv w:val="1"/>
      <w:marLeft w:val="0"/>
      <w:marRight w:val="0"/>
      <w:marTop w:val="0"/>
      <w:marBottom w:val="0"/>
      <w:divBdr>
        <w:top w:val="none" w:sz="0" w:space="0" w:color="auto"/>
        <w:left w:val="none" w:sz="0" w:space="0" w:color="auto"/>
        <w:bottom w:val="none" w:sz="0" w:space="0" w:color="auto"/>
        <w:right w:val="none" w:sz="0" w:space="0" w:color="auto"/>
      </w:divBdr>
      <w:divsChild>
        <w:div w:id="695011251">
          <w:marLeft w:val="0"/>
          <w:marRight w:val="0"/>
          <w:marTop w:val="0"/>
          <w:marBottom w:val="0"/>
          <w:divBdr>
            <w:top w:val="none" w:sz="0" w:space="0" w:color="auto"/>
            <w:left w:val="none" w:sz="0" w:space="0" w:color="auto"/>
            <w:bottom w:val="none" w:sz="0" w:space="0" w:color="auto"/>
            <w:right w:val="none" w:sz="0" w:space="0" w:color="auto"/>
          </w:divBdr>
        </w:div>
        <w:div w:id="1892884634">
          <w:marLeft w:val="0"/>
          <w:marRight w:val="0"/>
          <w:marTop w:val="0"/>
          <w:marBottom w:val="0"/>
          <w:divBdr>
            <w:top w:val="none" w:sz="0" w:space="0" w:color="auto"/>
            <w:left w:val="none" w:sz="0" w:space="0" w:color="auto"/>
            <w:bottom w:val="none" w:sz="0" w:space="0" w:color="auto"/>
            <w:right w:val="none" w:sz="0" w:space="0" w:color="auto"/>
          </w:divBdr>
        </w:div>
        <w:div w:id="1370060238">
          <w:marLeft w:val="0"/>
          <w:marRight w:val="0"/>
          <w:marTop w:val="0"/>
          <w:marBottom w:val="0"/>
          <w:divBdr>
            <w:top w:val="none" w:sz="0" w:space="0" w:color="auto"/>
            <w:left w:val="none" w:sz="0" w:space="0" w:color="auto"/>
            <w:bottom w:val="none" w:sz="0" w:space="0" w:color="auto"/>
            <w:right w:val="none" w:sz="0" w:space="0" w:color="auto"/>
          </w:divBdr>
        </w:div>
      </w:divsChild>
    </w:div>
    <w:div w:id="917709270">
      <w:bodyDiv w:val="1"/>
      <w:marLeft w:val="0"/>
      <w:marRight w:val="0"/>
      <w:marTop w:val="0"/>
      <w:marBottom w:val="0"/>
      <w:divBdr>
        <w:top w:val="none" w:sz="0" w:space="0" w:color="auto"/>
        <w:left w:val="none" w:sz="0" w:space="0" w:color="auto"/>
        <w:bottom w:val="none" w:sz="0" w:space="0" w:color="auto"/>
        <w:right w:val="none" w:sz="0" w:space="0" w:color="auto"/>
      </w:divBdr>
      <w:divsChild>
        <w:div w:id="1347289552">
          <w:marLeft w:val="0"/>
          <w:marRight w:val="0"/>
          <w:marTop w:val="0"/>
          <w:marBottom w:val="0"/>
          <w:divBdr>
            <w:top w:val="none" w:sz="0" w:space="0" w:color="auto"/>
            <w:left w:val="none" w:sz="0" w:space="0" w:color="auto"/>
            <w:bottom w:val="none" w:sz="0" w:space="0" w:color="auto"/>
            <w:right w:val="none" w:sz="0" w:space="0" w:color="auto"/>
          </w:divBdr>
        </w:div>
        <w:div w:id="224682863">
          <w:marLeft w:val="0"/>
          <w:marRight w:val="0"/>
          <w:marTop w:val="0"/>
          <w:marBottom w:val="0"/>
          <w:divBdr>
            <w:top w:val="none" w:sz="0" w:space="0" w:color="auto"/>
            <w:left w:val="none" w:sz="0" w:space="0" w:color="auto"/>
            <w:bottom w:val="none" w:sz="0" w:space="0" w:color="auto"/>
            <w:right w:val="none" w:sz="0" w:space="0" w:color="auto"/>
          </w:divBdr>
        </w:div>
        <w:div w:id="1979678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ste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1</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Shannon</dc:creator>
  <cp:keywords/>
  <dc:description/>
  <cp:lastModifiedBy>Steed, Shannon</cp:lastModifiedBy>
  <cp:revision>4</cp:revision>
  <dcterms:created xsi:type="dcterms:W3CDTF">2025-06-24T15:58:00Z</dcterms:created>
  <dcterms:modified xsi:type="dcterms:W3CDTF">2025-06-24T16:03:00Z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1da8032d-c4fe-48b8-9054-92634c9ea061_Enabled">
    <vt:lpwstr>true</vt:lpwstr>
  </property>
  <property fmtid="{D5CDD505-2E9C-101B-9397-08002B2CF9AE}" pid="9" name="MSIP_Label_1da8032d-c4fe-48b8-9054-92634c9ea061_SetDate">
    <vt:lpwstr>2024-12-10T01:17:58Z</vt:lpwstr>
  </property>
  <property fmtid="{D5CDD505-2E9C-101B-9397-08002B2CF9AE}" pid="10" name="MSIP_Label_1da8032d-c4fe-48b8-9054-92634c9ea061_Method">
    <vt:lpwstr>Standard</vt:lpwstr>
  </property>
  <property fmtid="{D5CDD505-2E9C-101B-9397-08002B2CF9AE}" pid="11" name="MSIP_Label_1da8032d-c4fe-48b8-9054-92634c9ea061_Name">
    <vt:lpwstr>Label 2 - Docs</vt:lpwstr>
  </property>
  <property fmtid="{D5CDD505-2E9C-101B-9397-08002B2CF9AE}" pid="12" name="MSIP_Label_1da8032d-c4fe-48b8-9054-92634c9ea061_SiteId">
    <vt:lpwstr>ce6a0196-6152-4c6a-9d1d-e946c3735743</vt:lpwstr>
  </property>
  <property fmtid="{D5CDD505-2E9C-101B-9397-08002B2CF9AE}" pid="13" name="MSIP_Label_1da8032d-c4fe-48b8-9054-92634c9ea061_ActionId">
    <vt:lpwstr>9a60dcc7-b651-409a-a859-08a818495aeb</vt:lpwstr>
  </property>
  <property fmtid="{D5CDD505-2E9C-101B-9397-08002B2CF9AE}" pid="14" name="MSIP_Label_1da8032d-c4fe-48b8-9054-92634c9ea061_ContentBits">
    <vt:lpwstr>0</vt:lpwstr>
  </property>
</Properties>
</file>