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4076" w14:textId="77777777" w:rsidR="00DE25BA" w:rsidRDefault="00DE25BA" w:rsidP="00DE25BA">
      <w:pPr>
        <w:jc w:val="center"/>
        <w:rPr>
          <w:b/>
          <w:bCs/>
        </w:rPr>
      </w:pPr>
      <w:r>
        <w:rPr>
          <w:noProof/>
        </w:rPr>
        <w:drawing>
          <wp:inline distT="0" distB="0" distL="0" distR="0" wp14:anchorId="7E7897CD" wp14:editId="73649FCF">
            <wp:extent cx="2076450" cy="863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 CN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823" cy="887041"/>
                    </a:xfrm>
                    <a:prstGeom prst="rect">
                      <a:avLst/>
                    </a:prstGeom>
                  </pic:spPr>
                </pic:pic>
              </a:graphicData>
            </a:graphic>
          </wp:inline>
        </w:drawing>
      </w:r>
    </w:p>
    <w:p w14:paraId="79CCBAEB" w14:textId="77777777" w:rsidR="00DE25BA" w:rsidRDefault="00DE25BA" w:rsidP="00DE25BA">
      <w:pPr>
        <w:jc w:val="center"/>
        <w:rPr>
          <w:b/>
          <w:bCs/>
        </w:rPr>
      </w:pPr>
    </w:p>
    <w:p w14:paraId="3E2BB139" w14:textId="77777777" w:rsidR="00DE25BA" w:rsidRDefault="00DE25BA" w:rsidP="00DE25BA">
      <w:pPr>
        <w:jc w:val="center"/>
        <w:rPr>
          <w:b/>
          <w:bCs/>
        </w:rPr>
      </w:pPr>
      <w:r>
        <w:rPr>
          <w:b/>
          <w:bCs/>
        </w:rPr>
        <w:t>CARES Advisory Group Meeting Agenda</w:t>
      </w:r>
    </w:p>
    <w:p w14:paraId="2D3AA842" w14:textId="3D90F3A4" w:rsidR="00DE25BA" w:rsidRDefault="00DD0489" w:rsidP="00DE25BA">
      <w:pPr>
        <w:jc w:val="center"/>
        <w:rPr>
          <w:b/>
          <w:bCs/>
        </w:rPr>
      </w:pPr>
      <w:r>
        <w:rPr>
          <w:b/>
          <w:bCs/>
        </w:rPr>
        <w:t>July</w:t>
      </w:r>
      <w:r w:rsidR="00DE25BA">
        <w:rPr>
          <w:b/>
          <w:bCs/>
        </w:rPr>
        <w:t xml:space="preserve"> </w:t>
      </w:r>
      <w:r>
        <w:rPr>
          <w:b/>
          <w:bCs/>
        </w:rPr>
        <w:t>16</w:t>
      </w:r>
      <w:r w:rsidR="00DE25BA">
        <w:rPr>
          <w:b/>
          <w:bCs/>
        </w:rPr>
        <w:t>, 202</w:t>
      </w:r>
      <w:r w:rsidR="0027706A">
        <w:rPr>
          <w:b/>
          <w:bCs/>
        </w:rPr>
        <w:t>5</w:t>
      </w:r>
      <w:r w:rsidR="00DE25BA">
        <w:rPr>
          <w:b/>
          <w:bCs/>
        </w:rPr>
        <w:t xml:space="preserve">    2:00 – 3:00pm Pacific</w:t>
      </w:r>
    </w:p>
    <w:p w14:paraId="3E55A991" w14:textId="77777777" w:rsidR="00DE25BA" w:rsidRPr="00051C67" w:rsidRDefault="00DE25BA" w:rsidP="00DE25BA">
      <w:pPr>
        <w:jc w:val="both"/>
      </w:pPr>
    </w:p>
    <w:tbl>
      <w:tblPr>
        <w:tblStyle w:val="TableGrid"/>
        <w:tblW w:w="10350" w:type="dxa"/>
        <w:jc w:val="center"/>
        <w:tblLook w:val="04A0" w:firstRow="1" w:lastRow="0" w:firstColumn="1" w:lastColumn="0" w:noHBand="0" w:noVBand="1"/>
      </w:tblPr>
      <w:tblGrid>
        <w:gridCol w:w="5400"/>
        <w:gridCol w:w="4950"/>
      </w:tblGrid>
      <w:tr w:rsidR="00DE25BA" w:rsidRPr="00F60E65" w14:paraId="0C46443E" w14:textId="77777777" w:rsidTr="005E7B33">
        <w:trPr>
          <w:jc w:val="center"/>
        </w:trPr>
        <w:tc>
          <w:tcPr>
            <w:tcW w:w="5400" w:type="dxa"/>
            <w:shd w:val="clear" w:color="auto" w:fill="D9D9D9" w:themeFill="background1" w:themeFillShade="D9"/>
          </w:tcPr>
          <w:p w14:paraId="7757055A" w14:textId="77777777" w:rsidR="00DE25BA" w:rsidRPr="00F60E65" w:rsidRDefault="00DE25BA" w:rsidP="005E7B33">
            <w:pPr>
              <w:pStyle w:val="ListParagraph"/>
              <w:ind w:left="0"/>
              <w:rPr>
                <w:b/>
              </w:rPr>
            </w:pPr>
            <w:r>
              <w:rPr>
                <w:b/>
              </w:rPr>
              <w:t>Advisory Group Member</w:t>
            </w:r>
          </w:p>
        </w:tc>
        <w:tc>
          <w:tcPr>
            <w:tcW w:w="4950" w:type="dxa"/>
            <w:shd w:val="clear" w:color="auto" w:fill="D9D9D9" w:themeFill="background1" w:themeFillShade="D9"/>
          </w:tcPr>
          <w:p w14:paraId="60753A31" w14:textId="77777777" w:rsidR="00DE25BA" w:rsidRPr="00F60E65" w:rsidRDefault="00DE25BA" w:rsidP="005E7B33">
            <w:pPr>
              <w:pStyle w:val="ListParagraph"/>
              <w:ind w:left="0"/>
              <w:rPr>
                <w:b/>
              </w:rPr>
            </w:pPr>
          </w:p>
        </w:tc>
      </w:tr>
      <w:tr w:rsidR="00DE25BA" w:rsidRPr="00BD08D3" w14:paraId="02F32F81" w14:textId="77777777" w:rsidTr="005E7B33">
        <w:trPr>
          <w:jc w:val="center"/>
        </w:trPr>
        <w:tc>
          <w:tcPr>
            <w:tcW w:w="5400" w:type="dxa"/>
          </w:tcPr>
          <w:p w14:paraId="7EB4BB36" w14:textId="77777777" w:rsidR="00DE25BA" w:rsidRPr="00BD08D3" w:rsidRDefault="00DE25BA" w:rsidP="005E7B33">
            <w:pPr>
              <w:pStyle w:val="ListParagraph"/>
              <w:ind w:left="0"/>
            </w:pPr>
            <w:r w:rsidRPr="00BD08D3">
              <w:t>Blue Mountain Action Council</w:t>
            </w:r>
            <w:r>
              <w:t xml:space="preserve"> (BMAC)</w:t>
            </w:r>
          </w:p>
        </w:tc>
        <w:tc>
          <w:tcPr>
            <w:tcW w:w="4950" w:type="dxa"/>
          </w:tcPr>
          <w:p w14:paraId="767F0BC3" w14:textId="77777777" w:rsidR="00DE25BA" w:rsidRPr="00BD08D3" w:rsidRDefault="00DE25BA" w:rsidP="005E7B33">
            <w:pPr>
              <w:pStyle w:val="ListParagraph"/>
              <w:ind w:left="0"/>
              <w:rPr>
                <w:color w:val="FF0000"/>
              </w:rPr>
            </w:pPr>
            <w:r w:rsidRPr="00BD08D3">
              <w:t>Sylvia Schaefer</w:t>
            </w:r>
          </w:p>
        </w:tc>
      </w:tr>
      <w:tr w:rsidR="00DE25BA" w:rsidRPr="00BD08D3" w14:paraId="1411B599" w14:textId="77777777" w:rsidTr="005E7B33">
        <w:trPr>
          <w:jc w:val="center"/>
        </w:trPr>
        <w:tc>
          <w:tcPr>
            <w:tcW w:w="5400" w:type="dxa"/>
          </w:tcPr>
          <w:p w14:paraId="46721E7C" w14:textId="77777777" w:rsidR="00DE25BA" w:rsidRPr="00BD08D3" w:rsidRDefault="00DE25BA" w:rsidP="005E7B33">
            <w:pPr>
              <w:pStyle w:val="ListParagraph"/>
              <w:ind w:left="0"/>
            </w:pPr>
            <w:r>
              <w:t xml:space="preserve">Benton-Franklin </w:t>
            </w:r>
            <w:r w:rsidRPr="00BD08D3">
              <w:t>Community Action Connections</w:t>
            </w:r>
            <w:r>
              <w:t xml:space="preserve"> (CAC)</w:t>
            </w:r>
          </w:p>
        </w:tc>
        <w:tc>
          <w:tcPr>
            <w:tcW w:w="4950" w:type="dxa"/>
          </w:tcPr>
          <w:p w14:paraId="230864DA" w14:textId="77777777" w:rsidR="00DE25BA" w:rsidRPr="00BD08D3" w:rsidRDefault="00DE25BA" w:rsidP="005E7B33">
            <w:pPr>
              <w:pStyle w:val="ListParagraph"/>
              <w:ind w:left="0"/>
            </w:pPr>
            <w:r w:rsidRPr="00BD08D3">
              <w:t>Dalia Ochoa</w:t>
            </w:r>
          </w:p>
        </w:tc>
      </w:tr>
      <w:tr w:rsidR="00DE25BA" w:rsidRPr="00BD08D3" w14:paraId="628050DE" w14:textId="77777777" w:rsidTr="005E7B33">
        <w:trPr>
          <w:jc w:val="center"/>
        </w:trPr>
        <w:tc>
          <w:tcPr>
            <w:tcW w:w="5400" w:type="dxa"/>
          </w:tcPr>
          <w:p w14:paraId="06705D1E" w14:textId="77777777" w:rsidR="00DE25BA" w:rsidRPr="00BD08D3" w:rsidRDefault="00DE25BA" w:rsidP="005E7B33">
            <w:pPr>
              <w:pStyle w:val="ListParagraph"/>
              <w:ind w:left="0"/>
            </w:pPr>
            <w:r w:rsidRPr="00BD08D3">
              <w:t>Community Action of Lewis, Mason, &amp; Thurston Counties</w:t>
            </w:r>
            <w:r>
              <w:t xml:space="preserve"> (CACLMT)</w:t>
            </w:r>
          </w:p>
        </w:tc>
        <w:tc>
          <w:tcPr>
            <w:tcW w:w="4950" w:type="dxa"/>
          </w:tcPr>
          <w:p w14:paraId="1FB0F3A9" w14:textId="142C2B24" w:rsidR="00DE25BA" w:rsidRPr="00BD08D3" w:rsidRDefault="000A5998" w:rsidP="005E7B33">
            <w:pPr>
              <w:pStyle w:val="ListParagraph"/>
              <w:ind w:left="0"/>
            </w:pPr>
            <w:r>
              <w:t xml:space="preserve">                                                                                       </w:t>
            </w:r>
            <w:r w:rsidR="00DE25BA">
              <w:t>Ester Castro, Stephenie Arnold</w:t>
            </w:r>
          </w:p>
        </w:tc>
      </w:tr>
      <w:tr w:rsidR="00DE25BA" w:rsidRPr="00BD08D3" w14:paraId="263E8125" w14:textId="77777777" w:rsidTr="005E7B33">
        <w:trPr>
          <w:jc w:val="center"/>
        </w:trPr>
        <w:tc>
          <w:tcPr>
            <w:tcW w:w="5400" w:type="dxa"/>
          </w:tcPr>
          <w:p w14:paraId="6FAB3082" w14:textId="77777777" w:rsidR="00DE25BA" w:rsidRPr="00BD08D3" w:rsidRDefault="00DE25BA" w:rsidP="005E7B33">
            <w:pPr>
              <w:pStyle w:val="ListParagraph"/>
              <w:ind w:left="0"/>
            </w:pPr>
            <w:r w:rsidRPr="00BD08D3">
              <w:t>Coastal Community Action Program</w:t>
            </w:r>
            <w:r>
              <w:t xml:space="preserve"> (CCAP)</w:t>
            </w:r>
          </w:p>
        </w:tc>
        <w:tc>
          <w:tcPr>
            <w:tcW w:w="4950" w:type="dxa"/>
          </w:tcPr>
          <w:p w14:paraId="1570DF98" w14:textId="77777777" w:rsidR="00DE25BA" w:rsidRPr="00BD08D3" w:rsidRDefault="00DE25BA" w:rsidP="005E7B33">
            <w:pPr>
              <w:pStyle w:val="ListParagraph"/>
              <w:ind w:left="0"/>
            </w:pPr>
            <w:r w:rsidRPr="00BD08D3">
              <w:t>Debbie Gregg</w:t>
            </w:r>
          </w:p>
        </w:tc>
      </w:tr>
      <w:tr w:rsidR="00DE25BA" w:rsidRPr="00BD08D3" w14:paraId="71052967" w14:textId="77777777" w:rsidTr="005E7B33">
        <w:trPr>
          <w:jc w:val="center"/>
        </w:trPr>
        <w:tc>
          <w:tcPr>
            <w:tcW w:w="5400" w:type="dxa"/>
          </w:tcPr>
          <w:p w14:paraId="46ED2163" w14:textId="77777777" w:rsidR="00DE25BA" w:rsidRPr="00BD08D3" w:rsidRDefault="00DE25BA" w:rsidP="005E7B33">
            <w:pPr>
              <w:pStyle w:val="ListParagraph"/>
              <w:ind w:left="0"/>
            </w:pPr>
            <w:r w:rsidRPr="00BD08D3">
              <w:t>Chelan-Douglas Community Action Council</w:t>
            </w:r>
            <w:r>
              <w:t xml:space="preserve"> (CDCAC)</w:t>
            </w:r>
          </w:p>
        </w:tc>
        <w:tc>
          <w:tcPr>
            <w:tcW w:w="4950" w:type="dxa"/>
          </w:tcPr>
          <w:p w14:paraId="1226AE9B" w14:textId="77777777" w:rsidR="00DE25BA" w:rsidRPr="00BD08D3" w:rsidRDefault="00DE25BA" w:rsidP="005E7B33">
            <w:pPr>
              <w:pStyle w:val="ListParagraph"/>
              <w:ind w:left="0"/>
            </w:pPr>
            <w:r>
              <w:t>Tom Bonwell, Sarah Brito, Alan Walker</w:t>
            </w:r>
          </w:p>
        </w:tc>
      </w:tr>
      <w:tr w:rsidR="00DE25BA" w:rsidRPr="00BD08D3" w14:paraId="714555AD" w14:textId="77777777" w:rsidTr="005E7B33">
        <w:trPr>
          <w:jc w:val="center"/>
        </w:trPr>
        <w:tc>
          <w:tcPr>
            <w:tcW w:w="5400" w:type="dxa"/>
          </w:tcPr>
          <w:p w14:paraId="6E123DFD" w14:textId="77777777" w:rsidR="00DE25BA" w:rsidRPr="00BD08D3" w:rsidRDefault="00DE25BA" w:rsidP="005E7B33">
            <w:pPr>
              <w:pStyle w:val="ListParagraph"/>
              <w:ind w:left="0"/>
            </w:pPr>
            <w:r w:rsidRPr="00BD08D3">
              <w:t>Kitsap Community Resources</w:t>
            </w:r>
            <w:r>
              <w:t xml:space="preserve"> (KCR)</w:t>
            </w:r>
          </w:p>
        </w:tc>
        <w:tc>
          <w:tcPr>
            <w:tcW w:w="4950" w:type="dxa"/>
          </w:tcPr>
          <w:p w14:paraId="4CE11090" w14:textId="77777777" w:rsidR="00DE25BA" w:rsidRPr="00BD08D3" w:rsidRDefault="00DE25BA" w:rsidP="005E7B33">
            <w:pPr>
              <w:pStyle w:val="ListParagraph"/>
              <w:ind w:left="0"/>
              <w:rPr>
                <w:rFonts w:eastAsia="Times New Roman"/>
              </w:rPr>
            </w:pPr>
            <w:r w:rsidRPr="00BD08D3">
              <w:rPr>
                <w:rFonts w:eastAsia="Times New Roman"/>
              </w:rPr>
              <w:t>Kandi Balandran</w:t>
            </w:r>
          </w:p>
        </w:tc>
      </w:tr>
      <w:tr w:rsidR="00DE25BA" w:rsidRPr="00BD08D3" w14:paraId="3ED54A08" w14:textId="77777777" w:rsidTr="005E7B33">
        <w:trPr>
          <w:jc w:val="center"/>
        </w:trPr>
        <w:tc>
          <w:tcPr>
            <w:tcW w:w="5400" w:type="dxa"/>
          </w:tcPr>
          <w:p w14:paraId="0BF4C73C" w14:textId="77777777" w:rsidR="00DE25BA" w:rsidRPr="00BD08D3" w:rsidRDefault="00DE25BA" w:rsidP="005E7B33">
            <w:pPr>
              <w:pStyle w:val="ListParagraph"/>
              <w:ind w:left="0"/>
            </w:pPr>
            <w:r w:rsidRPr="00BD08D3">
              <w:t>Lower Columbia Community Action Center</w:t>
            </w:r>
            <w:r>
              <w:t xml:space="preserve"> (LCCAP)</w:t>
            </w:r>
          </w:p>
        </w:tc>
        <w:tc>
          <w:tcPr>
            <w:tcW w:w="4950" w:type="dxa"/>
          </w:tcPr>
          <w:p w14:paraId="488C062A" w14:textId="77777777" w:rsidR="00DE25BA" w:rsidRPr="00BD08D3" w:rsidRDefault="00DE25BA" w:rsidP="005E7B33">
            <w:pPr>
              <w:pStyle w:val="ListParagraph"/>
              <w:ind w:left="0"/>
              <w:rPr>
                <w:rFonts w:eastAsia="Times New Roman"/>
              </w:rPr>
            </w:pPr>
            <w:r w:rsidRPr="00BD08D3">
              <w:rPr>
                <w:rFonts w:eastAsia="Times New Roman"/>
              </w:rPr>
              <w:t>Kathy Bates</w:t>
            </w:r>
          </w:p>
        </w:tc>
      </w:tr>
      <w:tr w:rsidR="00DE25BA" w:rsidRPr="00BD08D3" w14:paraId="53CC7A8E" w14:textId="77777777" w:rsidTr="005E7B33">
        <w:trPr>
          <w:jc w:val="center"/>
        </w:trPr>
        <w:tc>
          <w:tcPr>
            <w:tcW w:w="5400" w:type="dxa"/>
          </w:tcPr>
          <w:p w14:paraId="1785E768" w14:textId="77777777" w:rsidR="00DE25BA" w:rsidRPr="00BD08D3" w:rsidRDefault="00DE25BA" w:rsidP="005E7B33">
            <w:pPr>
              <w:pStyle w:val="ListParagraph"/>
              <w:ind w:left="0"/>
            </w:pPr>
            <w:r w:rsidRPr="00BD08D3">
              <w:t>NW Community Action Center</w:t>
            </w:r>
            <w:r>
              <w:t xml:space="preserve"> (NCAC)</w:t>
            </w:r>
          </w:p>
        </w:tc>
        <w:tc>
          <w:tcPr>
            <w:tcW w:w="4950" w:type="dxa"/>
          </w:tcPr>
          <w:p w14:paraId="070B33BC" w14:textId="77777777" w:rsidR="00DE25BA" w:rsidRPr="00BD08D3" w:rsidRDefault="00DE25BA" w:rsidP="005E7B33">
            <w:pPr>
              <w:pStyle w:val="ListParagraph"/>
              <w:ind w:left="0"/>
              <w:rPr>
                <w:rFonts w:eastAsia="Times New Roman"/>
              </w:rPr>
            </w:pPr>
            <w:r w:rsidRPr="00BD08D3">
              <w:rPr>
                <w:rFonts w:eastAsia="Times New Roman"/>
              </w:rPr>
              <w:t>Jose Alvarez</w:t>
            </w:r>
          </w:p>
        </w:tc>
      </w:tr>
      <w:tr w:rsidR="00DE25BA" w:rsidRPr="00723631" w14:paraId="0D5AA300" w14:textId="77777777" w:rsidTr="005E7B33">
        <w:trPr>
          <w:jc w:val="center"/>
        </w:trPr>
        <w:tc>
          <w:tcPr>
            <w:tcW w:w="5400" w:type="dxa"/>
          </w:tcPr>
          <w:p w14:paraId="66866975" w14:textId="77777777" w:rsidR="00DE25BA" w:rsidRPr="00BD08D3" w:rsidRDefault="00DE25BA" w:rsidP="005E7B33">
            <w:pPr>
              <w:pStyle w:val="ListParagraph"/>
              <w:ind w:left="0"/>
            </w:pPr>
            <w:r w:rsidRPr="00BD08D3">
              <w:t>OIC of Washington</w:t>
            </w:r>
            <w:r>
              <w:t xml:space="preserve"> (OIC)</w:t>
            </w:r>
          </w:p>
        </w:tc>
        <w:tc>
          <w:tcPr>
            <w:tcW w:w="4950" w:type="dxa"/>
          </w:tcPr>
          <w:p w14:paraId="4D889F78" w14:textId="77777777" w:rsidR="00DE25BA" w:rsidRPr="00CE71C3" w:rsidRDefault="00DE25BA" w:rsidP="005E7B33">
            <w:pPr>
              <w:pStyle w:val="ListParagraph"/>
              <w:ind w:left="0"/>
              <w:rPr>
                <w:rFonts w:eastAsia="Times New Roman"/>
                <w:lang w:val="es-US"/>
              </w:rPr>
            </w:pPr>
            <w:r w:rsidRPr="00CE71C3">
              <w:rPr>
                <w:rFonts w:eastAsia="Times New Roman"/>
                <w:lang w:val="es-US"/>
              </w:rPr>
              <w:t>Heidi Silva, Casandra Ochoa, Candi Jaeger</w:t>
            </w:r>
          </w:p>
        </w:tc>
      </w:tr>
      <w:tr w:rsidR="00DE25BA" w:rsidRPr="00BD08D3" w14:paraId="088E1A5D" w14:textId="77777777" w:rsidTr="005E7B33">
        <w:trPr>
          <w:jc w:val="center"/>
        </w:trPr>
        <w:tc>
          <w:tcPr>
            <w:tcW w:w="5400" w:type="dxa"/>
          </w:tcPr>
          <w:p w14:paraId="692BF9C2" w14:textId="77777777" w:rsidR="00DE25BA" w:rsidRPr="00BD08D3" w:rsidRDefault="00DE25BA" w:rsidP="005E7B33">
            <w:pPr>
              <w:pStyle w:val="ListParagraph"/>
              <w:ind w:left="0"/>
            </w:pPr>
            <w:r w:rsidRPr="00BD08D3">
              <w:t>Opportunity Council</w:t>
            </w:r>
            <w:r>
              <w:t xml:space="preserve"> (OPPCO)</w:t>
            </w:r>
          </w:p>
        </w:tc>
        <w:tc>
          <w:tcPr>
            <w:tcW w:w="4950" w:type="dxa"/>
          </w:tcPr>
          <w:p w14:paraId="5719819C" w14:textId="77777777" w:rsidR="00DE25BA" w:rsidRPr="00BD08D3" w:rsidRDefault="00DE25BA" w:rsidP="005E7B33">
            <w:pPr>
              <w:pStyle w:val="ListParagraph"/>
              <w:ind w:left="0"/>
              <w:rPr>
                <w:rFonts w:eastAsia="Times New Roman"/>
              </w:rPr>
            </w:pPr>
            <w:r w:rsidRPr="00BD08D3">
              <w:rPr>
                <w:rFonts w:eastAsia="Times New Roman"/>
              </w:rPr>
              <w:t xml:space="preserve">Marie </w:t>
            </w:r>
            <w:r>
              <w:rPr>
                <w:rFonts w:eastAsia="Times New Roman"/>
              </w:rPr>
              <w:t>Stanley, Melissa Gong</w:t>
            </w:r>
          </w:p>
        </w:tc>
      </w:tr>
      <w:tr w:rsidR="00DE25BA" w:rsidRPr="00BD08D3" w14:paraId="059EF0DE" w14:textId="77777777" w:rsidTr="005E7B33">
        <w:trPr>
          <w:jc w:val="center"/>
        </w:trPr>
        <w:tc>
          <w:tcPr>
            <w:tcW w:w="5400" w:type="dxa"/>
          </w:tcPr>
          <w:p w14:paraId="4E960959" w14:textId="77777777" w:rsidR="00DE25BA" w:rsidRPr="00BD08D3" w:rsidRDefault="00DE25BA" w:rsidP="005E7B33">
            <w:pPr>
              <w:pStyle w:val="ListParagraph"/>
              <w:ind w:left="0"/>
            </w:pPr>
            <w:r w:rsidRPr="00BD08D3">
              <w:t>Community Action of Skagit County</w:t>
            </w:r>
            <w:r>
              <w:t xml:space="preserve"> (SCCAA)</w:t>
            </w:r>
          </w:p>
        </w:tc>
        <w:tc>
          <w:tcPr>
            <w:tcW w:w="4950" w:type="dxa"/>
          </w:tcPr>
          <w:p w14:paraId="6CF17192" w14:textId="77777777" w:rsidR="00DE25BA" w:rsidRPr="00BD08D3" w:rsidRDefault="00DE25BA" w:rsidP="005E7B33">
            <w:pPr>
              <w:pStyle w:val="ListParagraph"/>
              <w:ind w:left="0"/>
              <w:rPr>
                <w:rFonts w:eastAsia="Times New Roman"/>
              </w:rPr>
            </w:pPr>
            <w:r w:rsidRPr="00BD08D3">
              <w:rPr>
                <w:rFonts w:eastAsia="Times New Roman"/>
              </w:rPr>
              <w:t>Misty Velasquez</w:t>
            </w:r>
          </w:p>
        </w:tc>
      </w:tr>
      <w:tr w:rsidR="00DE25BA" w:rsidRPr="00BD08D3" w14:paraId="317E1DB1" w14:textId="77777777" w:rsidTr="005E7B33">
        <w:trPr>
          <w:jc w:val="center"/>
        </w:trPr>
        <w:tc>
          <w:tcPr>
            <w:tcW w:w="5400" w:type="dxa"/>
          </w:tcPr>
          <w:p w14:paraId="3D8B2DD2" w14:textId="77777777" w:rsidR="00DE25BA" w:rsidRPr="00BD08D3" w:rsidRDefault="00DE25BA" w:rsidP="005E7B33">
            <w:pPr>
              <w:pStyle w:val="ListParagraph"/>
              <w:ind w:left="0"/>
            </w:pPr>
            <w:r w:rsidRPr="00BD08D3">
              <w:t>Snohomish County Human Services Dept</w:t>
            </w:r>
            <w:r>
              <w:t xml:space="preserve"> (SCEAP)</w:t>
            </w:r>
          </w:p>
        </w:tc>
        <w:tc>
          <w:tcPr>
            <w:tcW w:w="4950" w:type="dxa"/>
          </w:tcPr>
          <w:p w14:paraId="1F699B78" w14:textId="77777777" w:rsidR="00DE25BA" w:rsidRPr="00BD08D3" w:rsidRDefault="00DE25BA" w:rsidP="005E7B33">
            <w:pPr>
              <w:pStyle w:val="ListParagraph"/>
              <w:ind w:left="0"/>
              <w:rPr>
                <w:rFonts w:eastAsia="Times New Roman"/>
              </w:rPr>
            </w:pPr>
            <w:r>
              <w:rPr>
                <w:rFonts w:eastAsia="Times New Roman"/>
              </w:rPr>
              <w:t>Constance Hockett, Traci Baugh</w:t>
            </w:r>
          </w:p>
        </w:tc>
      </w:tr>
      <w:tr w:rsidR="00DE25BA" w:rsidRPr="008D60BE" w14:paraId="6CC37784" w14:textId="77777777" w:rsidTr="005E7B33">
        <w:trPr>
          <w:jc w:val="center"/>
        </w:trPr>
        <w:tc>
          <w:tcPr>
            <w:tcW w:w="5400" w:type="dxa"/>
            <w:shd w:val="clear" w:color="auto" w:fill="auto"/>
          </w:tcPr>
          <w:p w14:paraId="4E45D3A3" w14:textId="77777777" w:rsidR="00DE25BA" w:rsidRPr="008D60BE" w:rsidRDefault="00DE25BA" w:rsidP="005E7B33">
            <w:pPr>
              <w:pStyle w:val="ListParagraph"/>
              <w:ind w:left="0"/>
              <w:rPr>
                <w:bCs/>
              </w:rPr>
            </w:pPr>
            <w:r w:rsidRPr="008D60BE">
              <w:rPr>
                <w:bCs/>
              </w:rPr>
              <w:t>WUTC Staff</w:t>
            </w:r>
          </w:p>
        </w:tc>
        <w:tc>
          <w:tcPr>
            <w:tcW w:w="4950" w:type="dxa"/>
            <w:shd w:val="clear" w:color="auto" w:fill="auto"/>
          </w:tcPr>
          <w:p w14:paraId="67D4E0DD" w14:textId="1C01C441" w:rsidR="00DE25BA" w:rsidRPr="008D60BE" w:rsidRDefault="00DE25BA" w:rsidP="005E7B33">
            <w:pPr>
              <w:pStyle w:val="ListParagraph"/>
              <w:ind w:left="0"/>
              <w:rPr>
                <w:bCs/>
              </w:rPr>
            </w:pPr>
            <w:r w:rsidRPr="008D60BE">
              <w:rPr>
                <w:bCs/>
              </w:rPr>
              <w:t>Andrew Roberts, Andy Sellards</w:t>
            </w:r>
            <w:r>
              <w:rPr>
                <w:bCs/>
              </w:rPr>
              <w:t>, Corey Cook, Jacque Hawkins-Jones, Keith Quinata</w:t>
            </w:r>
            <w:r w:rsidR="008773D4">
              <w:rPr>
                <w:bCs/>
              </w:rPr>
              <w:t>, Sylvana Sorrells</w:t>
            </w:r>
          </w:p>
        </w:tc>
      </w:tr>
      <w:tr w:rsidR="00DE25BA" w:rsidRPr="008D60BE" w14:paraId="1B21190F" w14:textId="77777777" w:rsidTr="005E7B33">
        <w:trPr>
          <w:jc w:val="center"/>
        </w:trPr>
        <w:tc>
          <w:tcPr>
            <w:tcW w:w="5400" w:type="dxa"/>
            <w:shd w:val="clear" w:color="auto" w:fill="auto"/>
          </w:tcPr>
          <w:p w14:paraId="21CCFF1D" w14:textId="77777777" w:rsidR="00DE25BA" w:rsidRPr="008D60BE" w:rsidRDefault="00DE25BA" w:rsidP="005E7B33">
            <w:pPr>
              <w:pStyle w:val="ListParagraph"/>
              <w:ind w:left="0"/>
              <w:rPr>
                <w:bCs/>
              </w:rPr>
            </w:pPr>
            <w:r w:rsidRPr="008D60BE">
              <w:rPr>
                <w:bCs/>
              </w:rPr>
              <w:t>The Energy Project</w:t>
            </w:r>
          </w:p>
        </w:tc>
        <w:tc>
          <w:tcPr>
            <w:tcW w:w="4950" w:type="dxa"/>
            <w:shd w:val="clear" w:color="auto" w:fill="auto"/>
          </w:tcPr>
          <w:p w14:paraId="5063AE43" w14:textId="77777777" w:rsidR="00DE25BA" w:rsidRPr="008D60BE" w:rsidRDefault="00DE25BA" w:rsidP="005E7B33">
            <w:pPr>
              <w:pStyle w:val="ListParagraph"/>
              <w:ind w:left="0"/>
              <w:rPr>
                <w:bCs/>
              </w:rPr>
            </w:pPr>
            <w:r>
              <w:rPr>
                <w:bCs/>
              </w:rPr>
              <w:t>Shaylee Stokes</w:t>
            </w:r>
          </w:p>
        </w:tc>
      </w:tr>
      <w:tr w:rsidR="00DE25BA" w:rsidRPr="008D60BE" w14:paraId="44B7FB75" w14:textId="77777777" w:rsidTr="005E7B33">
        <w:trPr>
          <w:jc w:val="center"/>
        </w:trPr>
        <w:tc>
          <w:tcPr>
            <w:tcW w:w="5400" w:type="dxa"/>
            <w:shd w:val="clear" w:color="auto" w:fill="auto"/>
          </w:tcPr>
          <w:p w14:paraId="5FCB0A52" w14:textId="77777777" w:rsidR="00DE25BA" w:rsidRPr="008D60BE" w:rsidRDefault="00DE25BA" w:rsidP="005E7B33">
            <w:pPr>
              <w:pStyle w:val="ListParagraph"/>
              <w:ind w:left="0"/>
              <w:rPr>
                <w:bCs/>
              </w:rPr>
            </w:pPr>
            <w:r w:rsidRPr="008D60BE">
              <w:rPr>
                <w:bCs/>
              </w:rPr>
              <w:t>Public Counsel</w:t>
            </w:r>
          </w:p>
        </w:tc>
        <w:tc>
          <w:tcPr>
            <w:tcW w:w="4950" w:type="dxa"/>
            <w:shd w:val="clear" w:color="auto" w:fill="auto"/>
          </w:tcPr>
          <w:p w14:paraId="0B57DCA2" w14:textId="7B5D8DE9" w:rsidR="00DE25BA" w:rsidRPr="008D60BE" w:rsidRDefault="002D646B" w:rsidP="005E7B33">
            <w:pPr>
              <w:pStyle w:val="ListParagraph"/>
              <w:ind w:left="0"/>
              <w:rPr>
                <w:bCs/>
              </w:rPr>
            </w:pPr>
            <w:r>
              <w:rPr>
                <w:bCs/>
              </w:rPr>
              <w:t>Kai Hiatt</w:t>
            </w:r>
          </w:p>
        </w:tc>
      </w:tr>
      <w:tr w:rsidR="00DE25BA" w:rsidRPr="008D60BE" w14:paraId="4302B46C" w14:textId="77777777" w:rsidTr="005E7B33">
        <w:trPr>
          <w:jc w:val="center"/>
        </w:trPr>
        <w:tc>
          <w:tcPr>
            <w:tcW w:w="5400" w:type="dxa"/>
            <w:shd w:val="clear" w:color="auto" w:fill="auto"/>
          </w:tcPr>
          <w:p w14:paraId="613691B7" w14:textId="77777777" w:rsidR="00DE25BA" w:rsidRPr="008D60BE" w:rsidRDefault="00DE25BA" w:rsidP="005E7B33">
            <w:pPr>
              <w:pStyle w:val="ListParagraph"/>
              <w:ind w:left="0"/>
              <w:rPr>
                <w:bCs/>
              </w:rPr>
            </w:pPr>
            <w:r w:rsidRPr="008D60BE">
              <w:rPr>
                <w:bCs/>
              </w:rPr>
              <w:t>NW Energy Coalition</w:t>
            </w:r>
          </w:p>
        </w:tc>
        <w:tc>
          <w:tcPr>
            <w:tcW w:w="4950" w:type="dxa"/>
            <w:shd w:val="clear" w:color="auto" w:fill="auto"/>
          </w:tcPr>
          <w:p w14:paraId="05810DFF" w14:textId="77777777" w:rsidR="00DE25BA" w:rsidRPr="008D60BE" w:rsidRDefault="00DE25BA" w:rsidP="005E7B33">
            <w:pPr>
              <w:pStyle w:val="ListParagraph"/>
              <w:ind w:left="0"/>
              <w:rPr>
                <w:bCs/>
              </w:rPr>
            </w:pPr>
            <w:r w:rsidRPr="008D60BE">
              <w:rPr>
                <w:bCs/>
              </w:rPr>
              <w:t>Charlee Thompson</w:t>
            </w:r>
          </w:p>
        </w:tc>
      </w:tr>
      <w:tr w:rsidR="00DE25BA" w:rsidRPr="008D60BE" w14:paraId="7B6C7201" w14:textId="77777777" w:rsidTr="005E7B33">
        <w:trPr>
          <w:jc w:val="center"/>
        </w:trPr>
        <w:tc>
          <w:tcPr>
            <w:tcW w:w="5400" w:type="dxa"/>
            <w:tcBorders>
              <w:bottom w:val="single" w:sz="4" w:space="0" w:color="auto"/>
            </w:tcBorders>
            <w:shd w:val="clear" w:color="auto" w:fill="auto"/>
          </w:tcPr>
          <w:p w14:paraId="59D06355" w14:textId="77777777" w:rsidR="00DE25BA" w:rsidRPr="008D60BE" w:rsidRDefault="00DE25BA" w:rsidP="005E7B33">
            <w:pPr>
              <w:pStyle w:val="ListParagraph"/>
              <w:ind w:left="0"/>
              <w:rPr>
                <w:bCs/>
              </w:rPr>
            </w:pPr>
            <w:r w:rsidRPr="008D60BE">
              <w:rPr>
                <w:bCs/>
              </w:rPr>
              <w:t>Department of Commerce</w:t>
            </w:r>
          </w:p>
        </w:tc>
        <w:tc>
          <w:tcPr>
            <w:tcW w:w="4950" w:type="dxa"/>
            <w:tcBorders>
              <w:bottom w:val="single" w:sz="4" w:space="0" w:color="auto"/>
            </w:tcBorders>
            <w:shd w:val="clear" w:color="auto" w:fill="auto"/>
          </w:tcPr>
          <w:p w14:paraId="2A7F9463" w14:textId="77777777" w:rsidR="00DE25BA" w:rsidRPr="008D60BE" w:rsidRDefault="00DE25BA" w:rsidP="005E7B33">
            <w:pPr>
              <w:pStyle w:val="ListParagraph"/>
              <w:ind w:left="0"/>
              <w:rPr>
                <w:bCs/>
              </w:rPr>
            </w:pPr>
            <w:r w:rsidRPr="008D60BE">
              <w:rPr>
                <w:bCs/>
              </w:rPr>
              <w:t>Michelle DeBell</w:t>
            </w:r>
          </w:p>
        </w:tc>
      </w:tr>
      <w:tr w:rsidR="00DE25BA" w:rsidRPr="008D60BE" w14:paraId="456CA980" w14:textId="77777777" w:rsidTr="005E7B33">
        <w:trPr>
          <w:jc w:val="center"/>
        </w:trPr>
        <w:tc>
          <w:tcPr>
            <w:tcW w:w="5400" w:type="dxa"/>
            <w:tcBorders>
              <w:right w:val="nil"/>
            </w:tcBorders>
            <w:shd w:val="clear" w:color="auto" w:fill="D9D9D9" w:themeFill="background1" w:themeFillShade="D9"/>
          </w:tcPr>
          <w:p w14:paraId="0A5E7A9D" w14:textId="77777777" w:rsidR="00DE25BA" w:rsidRPr="008D60BE" w:rsidRDefault="00DE25BA" w:rsidP="005E7B33">
            <w:pPr>
              <w:pStyle w:val="ListParagraph"/>
              <w:ind w:left="0"/>
              <w:rPr>
                <w:b/>
              </w:rPr>
            </w:pPr>
            <w:r w:rsidRPr="008D60BE">
              <w:rPr>
                <w:b/>
              </w:rPr>
              <w:t>Cascade Natural Gas</w:t>
            </w:r>
          </w:p>
        </w:tc>
        <w:tc>
          <w:tcPr>
            <w:tcW w:w="4950" w:type="dxa"/>
            <w:tcBorders>
              <w:left w:val="nil"/>
            </w:tcBorders>
            <w:shd w:val="clear" w:color="auto" w:fill="D9D9D9" w:themeFill="background1" w:themeFillShade="D9"/>
          </w:tcPr>
          <w:p w14:paraId="6592A263" w14:textId="77777777" w:rsidR="00DE25BA" w:rsidRPr="008D60BE" w:rsidRDefault="00DE25BA" w:rsidP="005E7B33">
            <w:pPr>
              <w:pStyle w:val="ListParagraph"/>
              <w:ind w:left="0"/>
              <w:rPr>
                <w:b/>
              </w:rPr>
            </w:pPr>
          </w:p>
        </w:tc>
      </w:tr>
      <w:tr w:rsidR="00DE25BA" w:rsidRPr="00BD08D3" w14:paraId="2CD76265" w14:textId="77777777" w:rsidTr="005E7B33">
        <w:trPr>
          <w:jc w:val="center"/>
        </w:trPr>
        <w:tc>
          <w:tcPr>
            <w:tcW w:w="5400" w:type="dxa"/>
          </w:tcPr>
          <w:p w14:paraId="74AF5ECD" w14:textId="439D6C32" w:rsidR="00DE25BA" w:rsidRPr="00BD08D3" w:rsidRDefault="0027706A" w:rsidP="005E7B33">
            <w:pPr>
              <w:pStyle w:val="ListParagraph"/>
              <w:ind w:left="0"/>
            </w:pPr>
            <w:r w:rsidRPr="00BD08D3">
              <w:t xml:space="preserve">Dan Tillis, Dir Customer </w:t>
            </w:r>
            <w:r>
              <w:t>Experience</w:t>
            </w:r>
          </w:p>
        </w:tc>
        <w:tc>
          <w:tcPr>
            <w:tcW w:w="4950" w:type="dxa"/>
            <w:tcBorders>
              <w:bottom w:val="single" w:sz="4" w:space="0" w:color="auto"/>
            </w:tcBorders>
          </w:tcPr>
          <w:p w14:paraId="06D4CD5F" w14:textId="77777777" w:rsidR="00DE25BA" w:rsidRPr="00BD08D3" w:rsidRDefault="00DE25BA" w:rsidP="005E7B33">
            <w:pPr>
              <w:pStyle w:val="ListParagraph"/>
              <w:ind w:left="0"/>
            </w:pPr>
            <w:r>
              <w:t>Lori Blattner, Dir Regulatory Affairs</w:t>
            </w:r>
          </w:p>
        </w:tc>
      </w:tr>
      <w:tr w:rsidR="0027706A" w:rsidRPr="00BD08D3" w14:paraId="42B35EB3" w14:textId="77777777" w:rsidTr="005E7B33">
        <w:trPr>
          <w:jc w:val="center"/>
        </w:trPr>
        <w:tc>
          <w:tcPr>
            <w:tcW w:w="5400" w:type="dxa"/>
          </w:tcPr>
          <w:p w14:paraId="5DE68EF6" w14:textId="7B3E443B" w:rsidR="0027706A" w:rsidRPr="00BD08D3" w:rsidRDefault="0027706A" w:rsidP="0027706A">
            <w:pPr>
              <w:pStyle w:val="ListParagraph"/>
              <w:ind w:left="0"/>
              <w:rPr>
                <w:b/>
              </w:rPr>
            </w:pPr>
            <w:r>
              <w:t>Teri Sovak, Mgr Customer Service, Credit &amp; Collections</w:t>
            </w:r>
          </w:p>
        </w:tc>
        <w:tc>
          <w:tcPr>
            <w:tcW w:w="4950" w:type="dxa"/>
            <w:tcBorders>
              <w:bottom w:val="single" w:sz="4" w:space="0" w:color="auto"/>
            </w:tcBorders>
          </w:tcPr>
          <w:p w14:paraId="71075E23" w14:textId="77777777" w:rsidR="0027706A" w:rsidRPr="00BD08D3" w:rsidRDefault="0027706A" w:rsidP="0027706A">
            <w:pPr>
              <w:pStyle w:val="ListParagraph"/>
              <w:ind w:left="0"/>
            </w:pPr>
            <w:r>
              <w:t>Noemi Ortiz, Mgr OR Conservation &amp; Weatherization</w:t>
            </w:r>
          </w:p>
        </w:tc>
      </w:tr>
      <w:tr w:rsidR="0027706A" w:rsidRPr="00BD08D3" w14:paraId="6A78CB82" w14:textId="77777777" w:rsidTr="005E7B33">
        <w:trPr>
          <w:jc w:val="center"/>
        </w:trPr>
        <w:tc>
          <w:tcPr>
            <w:tcW w:w="5400" w:type="dxa"/>
          </w:tcPr>
          <w:p w14:paraId="7644C7C6" w14:textId="5F164315" w:rsidR="0027706A" w:rsidRPr="00BD08D3" w:rsidRDefault="0027706A" w:rsidP="0027706A">
            <w:pPr>
              <w:pStyle w:val="ListParagraph"/>
              <w:ind w:left="0"/>
            </w:pPr>
            <w:r w:rsidRPr="00BD08D3">
              <w:rPr>
                <w:bCs/>
              </w:rPr>
              <w:t>Shannon Steed, Consumer Specialist</w:t>
            </w:r>
          </w:p>
        </w:tc>
        <w:tc>
          <w:tcPr>
            <w:tcW w:w="4950" w:type="dxa"/>
            <w:shd w:val="clear" w:color="auto" w:fill="auto"/>
          </w:tcPr>
          <w:p w14:paraId="47B0F376" w14:textId="1E2146B0" w:rsidR="0027706A" w:rsidRPr="00BD08D3" w:rsidRDefault="0027706A" w:rsidP="0027706A">
            <w:pPr>
              <w:pStyle w:val="ListParagraph"/>
              <w:ind w:left="0"/>
            </w:pPr>
            <w:r>
              <w:t xml:space="preserve">Jennifer Gross, </w:t>
            </w:r>
            <w:r w:rsidR="00A93469">
              <w:t>Mgr Regulatory Affairs</w:t>
            </w:r>
          </w:p>
        </w:tc>
      </w:tr>
      <w:tr w:rsidR="00CB7909" w:rsidRPr="00BD08D3" w14:paraId="7254253A" w14:textId="77777777" w:rsidTr="005E7B33">
        <w:trPr>
          <w:jc w:val="center"/>
        </w:trPr>
        <w:tc>
          <w:tcPr>
            <w:tcW w:w="5400" w:type="dxa"/>
          </w:tcPr>
          <w:p w14:paraId="4B1A82E2" w14:textId="3FC46FCC" w:rsidR="00CB7909" w:rsidRPr="00BD08D3" w:rsidRDefault="00CB7909" w:rsidP="0027706A">
            <w:pPr>
              <w:pStyle w:val="ListParagraph"/>
              <w:ind w:left="0"/>
              <w:rPr>
                <w:bCs/>
              </w:rPr>
            </w:pPr>
            <w:r>
              <w:rPr>
                <w:bCs/>
              </w:rPr>
              <w:t>Rodney Fowler, Business Analyst</w:t>
            </w:r>
          </w:p>
        </w:tc>
        <w:tc>
          <w:tcPr>
            <w:tcW w:w="4950" w:type="dxa"/>
            <w:shd w:val="clear" w:color="auto" w:fill="auto"/>
          </w:tcPr>
          <w:p w14:paraId="531BF35D" w14:textId="77777777" w:rsidR="00CB7909" w:rsidRDefault="00CB7909" w:rsidP="0027706A">
            <w:pPr>
              <w:pStyle w:val="ListParagraph"/>
              <w:ind w:left="0"/>
            </w:pPr>
          </w:p>
        </w:tc>
      </w:tr>
    </w:tbl>
    <w:p w14:paraId="4314852F" w14:textId="65BB85CF" w:rsidR="00EA0B9D" w:rsidRDefault="00EA0B9D" w:rsidP="003F54EC"/>
    <w:p w14:paraId="360C0179" w14:textId="4F117EBA" w:rsidR="004A3D05" w:rsidRDefault="004A3D05" w:rsidP="004A3D05">
      <w:pPr>
        <w:pStyle w:val="ListParagraph"/>
        <w:numPr>
          <w:ilvl w:val="0"/>
          <w:numId w:val="25"/>
        </w:numPr>
      </w:pPr>
      <w:r>
        <w:t>Follow</w:t>
      </w:r>
      <w:r w:rsidR="008773D4">
        <w:t xml:space="preserve"> </w:t>
      </w:r>
      <w:r>
        <w:t>up item</w:t>
      </w:r>
      <w:r w:rsidR="00077AB8">
        <w:t xml:space="preserve"> postponed from June meeting</w:t>
      </w:r>
    </w:p>
    <w:p w14:paraId="55A4F244" w14:textId="38EBA08F" w:rsidR="004A3D05" w:rsidRDefault="004A3D05" w:rsidP="004A3D05">
      <w:pPr>
        <w:pStyle w:val="ListParagraph"/>
        <w:numPr>
          <w:ilvl w:val="1"/>
          <w:numId w:val="25"/>
        </w:numPr>
      </w:pPr>
      <w:r>
        <w:t>LIHEAP calculation method (Shay)</w:t>
      </w:r>
    </w:p>
    <w:p w14:paraId="68B6B174" w14:textId="5CBE03DF" w:rsidR="008773D4" w:rsidRDefault="008773D4" w:rsidP="008773D4">
      <w:pPr>
        <w:pStyle w:val="ListParagraph"/>
        <w:numPr>
          <w:ilvl w:val="0"/>
          <w:numId w:val="25"/>
        </w:numPr>
      </w:pPr>
      <w:r>
        <w:t>CARES Enrollment Numbers update</w:t>
      </w:r>
    </w:p>
    <w:p w14:paraId="4DB7441A" w14:textId="497BF9E2" w:rsidR="00DA7BDF" w:rsidRDefault="00DA7BDF" w:rsidP="00DA7BDF">
      <w:pPr>
        <w:pStyle w:val="ListParagraph"/>
        <w:numPr>
          <w:ilvl w:val="0"/>
          <w:numId w:val="25"/>
        </w:numPr>
      </w:pPr>
      <w:r>
        <w:t>Inspire Development Centers partnership</w:t>
      </w:r>
    </w:p>
    <w:p w14:paraId="7B5F251C" w14:textId="12D9EED8" w:rsidR="00E420AC" w:rsidRDefault="00E420AC" w:rsidP="00E420AC">
      <w:pPr>
        <w:pStyle w:val="ListParagraph"/>
        <w:numPr>
          <w:ilvl w:val="0"/>
          <w:numId w:val="25"/>
        </w:numPr>
      </w:pPr>
      <w:r>
        <w:t>Open Discussion</w:t>
      </w:r>
    </w:p>
    <w:p w14:paraId="12F74138" w14:textId="77777777" w:rsidR="00CC776C" w:rsidRDefault="00CC776C" w:rsidP="00CC776C"/>
    <w:p w14:paraId="134D3BD8" w14:textId="77777777" w:rsidR="00CC776C" w:rsidRPr="00CC776C" w:rsidRDefault="00CC776C" w:rsidP="00CC776C">
      <w:r w:rsidRPr="00CC776C">
        <w:t>Meeting notes:</w:t>
      </w:r>
    </w:p>
    <w:p w14:paraId="2F1D43A2" w14:textId="1F5C36B8" w:rsidR="0028615C" w:rsidRPr="00CC776C" w:rsidRDefault="00CC776C" w:rsidP="00CE71C3">
      <w:pPr>
        <w:numPr>
          <w:ilvl w:val="0"/>
          <w:numId w:val="28"/>
        </w:numPr>
      </w:pPr>
      <w:r w:rsidRPr="00CC776C">
        <w:rPr>
          <w:b/>
          <w:bCs/>
        </w:rPr>
        <w:t xml:space="preserve">Decline in CARES Enrollments: </w:t>
      </w:r>
      <w:r w:rsidRPr="00CC776C">
        <w:t>Rodney Fowler from CNG</w:t>
      </w:r>
      <w:r w:rsidR="00B805D9">
        <w:t>C</w:t>
      </w:r>
      <w:r w:rsidRPr="00CC776C">
        <w:t xml:space="preserve"> discussed the decline in CARES enrollments from May to June</w:t>
      </w:r>
      <w:r w:rsidR="0066445F">
        <w:t>. During this time, enrollments went</w:t>
      </w:r>
      <w:r w:rsidR="0028615C">
        <w:t xml:space="preserve"> from</w:t>
      </w:r>
      <w:r w:rsidR="0028615C" w:rsidRPr="00CC776C">
        <w:t xml:space="preserve"> 17,413 to 17,266, resulting in a net change of 147 enrollments</w:t>
      </w:r>
      <w:r w:rsidR="0028615C">
        <w:t xml:space="preserve">. </w:t>
      </w:r>
      <w:r w:rsidRPr="00CC776C">
        <w:t xml:space="preserve">61% of </w:t>
      </w:r>
      <w:r w:rsidR="0028615C">
        <w:t>disenrollments are</w:t>
      </w:r>
      <w:r w:rsidRPr="00CC776C">
        <w:t xml:space="preserve"> due to account closures</w:t>
      </w:r>
      <w:r w:rsidR="0028615C">
        <w:t xml:space="preserve">. Of the remaining 39%, many are </w:t>
      </w:r>
      <w:r w:rsidR="0028615C" w:rsidRPr="00CC776C">
        <w:t>temporarily disenrolled due to LIHEAP grants, and these will be re-enrolled once the credit balance is used up.</w:t>
      </w:r>
    </w:p>
    <w:p w14:paraId="5236624E" w14:textId="77D5DE16" w:rsidR="00CC776C" w:rsidRPr="00CC776C" w:rsidRDefault="00CC776C" w:rsidP="00CE71C3">
      <w:pPr>
        <w:ind w:left="360"/>
      </w:pPr>
      <w:r w:rsidRPr="00CC776C">
        <w:t>Rodney mentioned that no current data support</w:t>
      </w:r>
      <w:r w:rsidR="0066445F">
        <w:t>s</w:t>
      </w:r>
      <w:r w:rsidRPr="00CC776C">
        <w:t xml:space="preserve"> this trend but plans to enhance future reporting to include this information. He also aims to develop a dashboard for tracking enrollments and disenrollments.</w:t>
      </w:r>
    </w:p>
    <w:p w14:paraId="50691FE6" w14:textId="403614E4" w:rsidR="0028615C" w:rsidRPr="00CC776C" w:rsidRDefault="0028615C" w:rsidP="00CE71C3">
      <w:pPr>
        <w:ind w:left="1440"/>
      </w:pPr>
    </w:p>
    <w:p w14:paraId="3CA8EC18" w14:textId="3986DDB9" w:rsidR="00B805D9" w:rsidRDefault="00CC776C" w:rsidP="00CC776C">
      <w:pPr>
        <w:numPr>
          <w:ilvl w:val="0"/>
          <w:numId w:val="28"/>
        </w:numPr>
      </w:pPr>
      <w:r w:rsidRPr="00CC776C">
        <w:rPr>
          <w:b/>
          <w:bCs/>
        </w:rPr>
        <w:t xml:space="preserve">LIHEAP Calculation Method: </w:t>
      </w:r>
      <w:r w:rsidRPr="00CC776C">
        <w:t>Shaylee Stokes discussed the LIHEAP calculation method, explaining the mismatch between</w:t>
      </w:r>
      <w:r w:rsidR="0066445F">
        <w:t xml:space="preserve"> using</w:t>
      </w:r>
      <w:r w:rsidRPr="00CC776C">
        <w:t xml:space="preserve"> discounted billing history </w:t>
      </w:r>
      <w:r w:rsidR="0066445F">
        <w:t xml:space="preserve">to determine the LIHEAP grant amount and then the application of the grant on non-discounted bills. </w:t>
      </w:r>
      <w:r w:rsidRPr="00CC776C">
        <w:t xml:space="preserve">She proposed two solutions and recommended calculating LIHEAP based on the </w:t>
      </w:r>
      <w:r w:rsidR="00B805D9">
        <w:t xml:space="preserve">actual billing history, which will usually be a discounted bill for repeat CARES customers, </w:t>
      </w:r>
      <w:r w:rsidRPr="00CC776C">
        <w:t xml:space="preserve">and not pausing the CARES discount when </w:t>
      </w:r>
      <w:r w:rsidR="0066445F">
        <w:t xml:space="preserve">the </w:t>
      </w:r>
      <w:r w:rsidRPr="00CC776C">
        <w:t>LIHEAP credit is applied.</w:t>
      </w:r>
      <w:r w:rsidR="00B805D9">
        <w:t xml:space="preserve"> Shaylee requested that this change be implemented with the start of the new program year. Jennifer Gross from CNGC said Cascade would need to discuss this change internally to determine if the October 1</w:t>
      </w:r>
      <w:r w:rsidR="00B805D9" w:rsidRPr="00CE71C3">
        <w:rPr>
          <w:vertAlign w:val="superscript"/>
        </w:rPr>
        <w:t>st</w:t>
      </w:r>
      <w:r w:rsidR="00B805D9">
        <w:t xml:space="preserve"> date would work. The change will require revised system programming, revised customer communications, and a tariff filing. If the timing is sufficient, Cascade’s next step will be to provide the CARES Advisory Group with a draft tariff filing. </w:t>
      </w:r>
    </w:p>
    <w:p w14:paraId="1E31232C" w14:textId="77777777" w:rsidR="00B805D9" w:rsidRDefault="00B805D9" w:rsidP="00B805D9">
      <w:pPr>
        <w:rPr>
          <w:b/>
          <w:bCs/>
        </w:rPr>
      </w:pPr>
    </w:p>
    <w:p w14:paraId="62C1A887" w14:textId="7A548577" w:rsidR="00CC776C" w:rsidRDefault="00CC776C" w:rsidP="00CE71C3">
      <w:pPr>
        <w:pStyle w:val="ListParagraph"/>
        <w:numPr>
          <w:ilvl w:val="0"/>
          <w:numId w:val="30"/>
        </w:numPr>
      </w:pPr>
      <w:r w:rsidRPr="00B805D9">
        <w:rPr>
          <w:b/>
          <w:bCs/>
        </w:rPr>
        <w:t xml:space="preserve">Inspire Development Centers Partnership: </w:t>
      </w:r>
      <w:r w:rsidRPr="00CC776C">
        <w:t xml:space="preserve">Noemi </w:t>
      </w:r>
      <w:r w:rsidR="00B805D9">
        <w:t xml:space="preserve">Ortiz from CNGC </w:t>
      </w:r>
      <w:r w:rsidRPr="00CC776C">
        <w:t xml:space="preserve">presented the partnership </w:t>
      </w:r>
      <w:r w:rsidR="00B805D9">
        <w:t xml:space="preserve">CNGC has developed </w:t>
      </w:r>
      <w:r w:rsidRPr="00CC776C">
        <w:t xml:space="preserve">with Inspire Development Centers </w:t>
      </w:r>
      <w:r w:rsidR="00B805D9">
        <w:t xml:space="preserve">(Inspire) </w:t>
      </w:r>
      <w:r w:rsidRPr="00CC776C">
        <w:t xml:space="preserve">for enrollment </w:t>
      </w:r>
      <w:r w:rsidR="00B805D9">
        <w:t>of Inspire clients into the</w:t>
      </w:r>
      <w:r w:rsidRPr="00CC776C">
        <w:t xml:space="preserve"> CARES program. She explained the application process and the eligibility criteria, highlighting the centers' role in verifying income and enrolling families.</w:t>
      </w:r>
    </w:p>
    <w:p w14:paraId="5B7C5026" w14:textId="77777777" w:rsidR="00B805D9" w:rsidRPr="00CC776C" w:rsidRDefault="00B805D9" w:rsidP="00CE71C3"/>
    <w:p w14:paraId="790388A8" w14:textId="2C0EDB63" w:rsidR="00CC776C" w:rsidRDefault="00CC776C" w:rsidP="00B805D9">
      <w:pPr>
        <w:numPr>
          <w:ilvl w:val="0"/>
          <w:numId w:val="28"/>
        </w:numPr>
      </w:pPr>
      <w:r w:rsidRPr="00CC776C">
        <w:rPr>
          <w:b/>
          <w:bCs/>
        </w:rPr>
        <w:t xml:space="preserve">Public Charge Rule Concerns: </w:t>
      </w:r>
      <w:r w:rsidRPr="00CC776C">
        <w:t xml:space="preserve">Noemi </w:t>
      </w:r>
      <w:r w:rsidR="00B805D9">
        <w:t xml:space="preserve">notified the group that Inspire alerted the Company to their clients’ concerns with the </w:t>
      </w:r>
      <w:r w:rsidRPr="00CC776C">
        <w:t>public charge rule</w:t>
      </w:r>
      <w:r w:rsidR="00B805D9">
        <w:t xml:space="preserve">, which disallows a person on the path for citizenship to utilize certain </w:t>
      </w:r>
      <w:r w:rsidR="00723631">
        <w:t xml:space="preserve">cash </w:t>
      </w:r>
      <w:r w:rsidR="00B805D9">
        <w:t xml:space="preserve">assistance funds. </w:t>
      </w:r>
      <w:r w:rsidRPr="00CC776C">
        <w:t xml:space="preserve">She reassured </w:t>
      </w:r>
      <w:r>
        <w:t xml:space="preserve">the group </w:t>
      </w:r>
      <w:r w:rsidRPr="00CC776C">
        <w:t xml:space="preserve">that the CARES program is </w:t>
      </w:r>
      <w:r w:rsidRPr="00CE71C3">
        <w:rPr>
          <w:u w:val="single"/>
        </w:rPr>
        <w:t>not</w:t>
      </w:r>
      <w:r w:rsidRPr="00CC776C">
        <w:t xml:space="preserve"> considered a public charge benefit and discussed the importance of addressing barriers that may prevent individuals from applying for services.</w:t>
      </w:r>
      <w:r w:rsidRPr="00CC776C">
        <w:rPr>
          <w:b/>
          <w:bCs/>
        </w:rPr>
        <w:t xml:space="preserve"> </w:t>
      </w:r>
      <w:r w:rsidRPr="00CC776C">
        <w:t>Noemi mentioned plans to add reassuring language to the website to provide Peace of Mind to individuals concerned about the public charge rule.</w:t>
      </w:r>
    </w:p>
    <w:p w14:paraId="1EA5A27F" w14:textId="77777777" w:rsidR="00B805D9" w:rsidRPr="00CC776C" w:rsidRDefault="00B805D9" w:rsidP="00CE71C3">
      <w:pPr>
        <w:ind w:left="720"/>
      </w:pPr>
    </w:p>
    <w:p w14:paraId="179E9888" w14:textId="724B270C" w:rsidR="00CC776C" w:rsidRDefault="00CC776C" w:rsidP="00CC776C">
      <w:pPr>
        <w:numPr>
          <w:ilvl w:val="0"/>
          <w:numId w:val="28"/>
        </w:numPr>
      </w:pPr>
      <w:r w:rsidRPr="00CC776C">
        <w:rPr>
          <w:b/>
          <w:bCs/>
        </w:rPr>
        <w:t xml:space="preserve">Confidentiality and Data Sharing: </w:t>
      </w:r>
      <w:r w:rsidR="00B805D9">
        <w:t>Cascade was asked if it would refer Inspire</w:t>
      </w:r>
      <w:r w:rsidR="00CE71C3">
        <w:t>’s</w:t>
      </w:r>
      <w:r w:rsidR="00B805D9">
        <w:t xml:space="preserve"> clients to the agencies so the agencies could offer them other programs and services</w:t>
      </w:r>
      <w:r w:rsidRPr="00CC776C">
        <w:t>. Noemi mentioned the need to revisit consent</w:t>
      </w:r>
      <w:r w:rsidR="00B805D9">
        <w:t xml:space="preserve"> language on the application form, which does not currently allow for sharing with the agencies. She also </w:t>
      </w:r>
      <w:r w:rsidR="0066445F">
        <w:t>emphasized the need for maintaining confidentiality among the Inspire clients.</w:t>
      </w:r>
    </w:p>
    <w:p w14:paraId="1D6EFDD2" w14:textId="77777777" w:rsidR="0066445F" w:rsidRPr="00CC776C" w:rsidRDefault="0066445F" w:rsidP="00CE71C3"/>
    <w:p w14:paraId="00B53897" w14:textId="77777777" w:rsidR="00CC776C" w:rsidRPr="00CC776C" w:rsidRDefault="00CC776C" w:rsidP="00CC776C">
      <w:pPr>
        <w:numPr>
          <w:ilvl w:val="0"/>
          <w:numId w:val="28"/>
        </w:numPr>
      </w:pPr>
      <w:r w:rsidRPr="00CC776C">
        <w:rPr>
          <w:b/>
          <w:bCs/>
        </w:rPr>
        <w:t xml:space="preserve">Future Collaboration: </w:t>
      </w:r>
      <w:r w:rsidRPr="00CC776C">
        <w:t>Shaylee suggested organizing a program sharing or meet-and-greet between agencies and Inspire Development Centers to build direct connections and enhance collaboration.</w:t>
      </w:r>
    </w:p>
    <w:p w14:paraId="1107C4BB" w14:textId="77777777" w:rsidR="00CC776C" w:rsidRDefault="00CC776C" w:rsidP="00CC776C"/>
    <w:p w14:paraId="43489D32" w14:textId="0A8AFC90" w:rsidR="00CC776C" w:rsidRPr="00CC776C" w:rsidRDefault="00CC776C" w:rsidP="00CC776C">
      <w:r w:rsidRPr="00CC776C">
        <w:t>Follow-up tasks:</w:t>
      </w:r>
    </w:p>
    <w:p w14:paraId="09FA1A2A" w14:textId="77777777" w:rsidR="00CC776C" w:rsidRPr="00CC776C" w:rsidRDefault="00CC776C" w:rsidP="00CC776C">
      <w:pPr>
        <w:numPr>
          <w:ilvl w:val="0"/>
          <w:numId w:val="29"/>
        </w:numPr>
      </w:pPr>
      <w:r w:rsidRPr="00CC776C">
        <w:rPr>
          <w:b/>
          <w:bCs/>
        </w:rPr>
        <w:t xml:space="preserve">Dashboard Development: </w:t>
      </w:r>
      <w:r w:rsidRPr="00CC776C">
        <w:t>Develop and implement a dashboard to track monthly CARES enrollments and disenrollments, aiming to share it within the next one or two meetings. (Rodney)</w:t>
      </w:r>
    </w:p>
    <w:p w14:paraId="5ACA8483" w14:textId="77777777" w:rsidR="00CC776C" w:rsidRPr="00CC776C" w:rsidRDefault="00CC776C" w:rsidP="00CC776C">
      <w:pPr>
        <w:numPr>
          <w:ilvl w:val="0"/>
          <w:numId w:val="29"/>
        </w:numPr>
      </w:pPr>
      <w:r w:rsidRPr="00CC776C">
        <w:rPr>
          <w:b/>
          <w:bCs/>
        </w:rPr>
        <w:t xml:space="preserve">LIHEAP Calculation Method: </w:t>
      </w:r>
      <w:r w:rsidRPr="00CC776C">
        <w:t>Discuss internally the proposed change to stop pausing the CARES discount when LIHEAP credit is applied and assess any potential issues with the timeline for implementation by October 1st. (Jennifer)</w:t>
      </w:r>
    </w:p>
    <w:p w14:paraId="14E30F9F" w14:textId="77777777" w:rsidR="00CC776C" w:rsidRPr="00CC776C" w:rsidRDefault="00CC776C" w:rsidP="00CC776C">
      <w:pPr>
        <w:numPr>
          <w:ilvl w:val="0"/>
          <w:numId w:val="29"/>
        </w:numPr>
      </w:pPr>
      <w:r w:rsidRPr="00CC776C">
        <w:rPr>
          <w:b/>
          <w:bCs/>
        </w:rPr>
        <w:t xml:space="preserve">Inspire Development Centers Partnership: </w:t>
      </w:r>
      <w:r w:rsidRPr="00CC776C">
        <w:t>Revisit the consent process with Inspire Development Centers to determine if customer information can be shared with other agencies for additional program referrals. (Noemi, Jennifer)</w:t>
      </w:r>
    </w:p>
    <w:p w14:paraId="65DB04CD" w14:textId="77777777" w:rsidR="00CC776C" w:rsidRPr="00CC776C" w:rsidRDefault="00CC776C" w:rsidP="00CC776C">
      <w:pPr>
        <w:numPr>
          <w:ilvl w:val="0"/>
          <w:numId w:val="29"/>
        </w:numPr>
      </w:pPr>
      <w:r w:rsidRPr="00CC776C">
        <w:rPr>
          <w:b/>
          <w:bCs/>
        </w:rPr>
        <w:t xml:space="preserve">Inspire Development Centers Partnership: </w:t>
      </w:r>
      <w:r w:rsidRPr="00CC776C">
        <w:t>Consider organizing a program sharing or meet-and-greet event between agencies and Inspire Development Centers to build direct connections and relationships. (Noemi)</w:t>
      </w:r>
    </w:p>
    <w:p w14:paraId="27D9A8F8" w14:textId="77777777" w:rsidR="00CC776C" w:rsidRDefault="00CC776C" w:rsidP="00CC776C"/>
    <w:sectPr w:rsidR="00CC7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C41160"/>
    <w:multiLevelType w:val="multilevel"/>
    <w:tmpl w:val="9D868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453011"/>
    <w:multiLevelType w:val="multilevel"/>
    <w:tmpl w:val="4E48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88C1321"/>
    <w:multiLevelType w:val="hybridMultilevel"/>
    <w:tmpl w:val="45788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743695"/>
    <w:multiLevelType w:val="hybridMultilevel"/>
    <w:tmpl w:val="0CB4BA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F1A51A8"/>
    <w:multiLevelType w:val="hybridMultilevel"/>
    <w:tmpl w:val="D31A3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3E3D8A"/>
    <w:multiLevelType w:val="hybridMultilevel"/>
    <w:tmpl w:val="52F4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77554">
    <w:abstractNumId w:val="21"/>
  </w:num>
  <w:num w:numId="2" w16cid:durableId="622033251">
    <w:abstractNumId w:val="13"/>
  </w:num>
  <w:num w:numId="3" w16cid:durableId="39668940">
    <w:abstractNumId w:val="10"/>
  </w:num>
  <w:num w:numId="4" w16cid:durableId="1947274757">
    <w:abstractNumId w:val="24"/>
  </w:num>
  <w:num w:numId="5" w16cid:durableId="359549631">
    <w:abstractNumId w:val="14"/>
  </w:num>
  <w:num w:numId="6" w16cid:durableId="896285323">
    <w:abstractNumId w:val="18"/>
  </w:num>
  <w:num w:numId="7" w16cid:durableId="829102100">
    <w:abstractNumId w:val="20"/>
  </w:num>
  <w:num w:numId="8" w16cid:durableId="45372011">
    <w:abstractNumId w:val="9"/>
  </w:num>
  <w:num w:numId="9" w16cid:durableId="1852261900">
    <w:abstractNumId w:val="7"/>
  </w:num>
  <w:num w:numId="10" w16cid:durableId="1838841327">
    <w:abstractNumId w:val="6"/>
  </w:num>
  <w:num w:numId="11" w16cid:durableId="1707176565">
    <w:abstractNumId w:val="5"/>
  </w:num>
  <w:num w:numId="12" w16cid:durableId="1798837058">
    <w:abstractNumId w:val="4"/>
  </w:num>
  <w:num w:numId="13" w16cid:durableId="1404570837">
    <w:abstractNumId w:val="8"/>
  </w:num>
  <w:num w:numId="14" w16cid:durableId="732773327">
    <w:abstractNumId w:val="3"/>
  </w:num>
  <w:num w:numId="15" w16cid:durableId="237909535">
    <w:abstractNumId w:val="2"/>
  </w:num>
  <w:num w:numId="16" w16cid:durableId="1061059702">
    <w:abstractNumId w:val="1"/>
  </w:num>
  <w:num w:numId="17" w16cid:durableId="451049693">
    <w:abstractNumId w:val="0"/>
  </w:num>
  <w:num w:numId="18" w16cid:durableId="786200193">
    <w:abstractNumId w:val="16"/>
  </w:num>
  <w:num w:numId="19" w16cid:durableId="1967930718">
    <w:abstractNumId w:val="17"/>
  </w:num>
  <w:num w:numId="20" w16cid:durableId="399063954">
    <w:abstractNumId w:val="22"/>
  </w:num>
  <w:num w:numId="21" w16cid:durableId="1837569872">
    <w:abstractNumId w:val="19"/>
  </w:num>
  <w:num w:numId="22" w16cid:durableId="557398870">
    <w:abstractNumId w:val="12"/>
  </w:num>
  <w:num w:numId="23" w16cid:durableId="1668828037">
    <w:abstractNumId w:val="26"/>
  </w:num>
  <w:num w:numId="24" w16cid:durableId="745300207">
    <w:abstractNumId w:val="25"/>
  </w:num>
  <w:num w:numId="25" w16cid:durableId="1138840837">
    <w:abstractNumId w:val="23"/>
  </w:num>
  <w:num w:numId="26" w16cid:durableId="2016881799">
    <w:abstractNumId w:val="27"/>
  </w:num>
  <w:num w:numId="27" w16cid:durableId="350768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373194">
    <w:abstractNumId w:val="11"/>
  </w:num>
  <w:num w:numId="29" w16cid:durableId="1667305">
    <w:abstractNumId w:val="15"/>
  </w:num>
  <w:num w:numId="30" w16cid:durableId="13078519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A"/>
    <w:rsid w:val="0002264C"/>
    <w:rsid w:val="00077AB8"/>
    <w:rsid w:val="000A5998"/>
    <w:rsid w:val="00136DC8"/>
    <w:rsid w:val="001C2942"/>
    <w:rsid w:val="0027706A"/>
    <w:rsid w:val="0028615C"/>
    <w:rsid w:val="002A33A5"/>
    <w:rsid w:val="002D646B"/>
    <w:rsid w:val="003F54EC"/>
    <w:rsid w:val="00404154"/>
    <w:rsid w:val="004A3D05"/>
    <w:rsid w:val="005F6AFF"/>
    <w:rsid w:val="00620ADC"/>
    <w:rsid w:val="00645252"/>
    <w:rsid w:val="0066445F"/>
    <w:rsid w:val="00670900"/>
    <w:rsid w:val="006D3D74"/>
    <w:rsid w:val="00723631"/>
    <w:rsid w:val="00782D57"/>
    <w:rsid w:val="007A6266"/>
    <w:rsid w:val="0083530A"/>
    <w:rsid w:val="0083569A"/>
    <w:rsid w:val="00855F25"/>
    <w:rsid w:val="008773D4"/>
    <w:rsid w:val="008B11D5"/>
    <w:rsid w:val="008D1AB6"/>
    <w:rsid w:val="0091641C"/>
    <w:rsid w:val="0092112F"/>
    <w:rsid w:val="0096353A"/>
    <w:rsid w:val="00A5273B"/>
    <w:rsid w:val="00A87C1E"/>
    <w:rsid w:val="00A9204E"/>
    <w:rsid w:val="00A93469"/>
    <w:rsid w:val="00B149A4"/>
    <w:rsid w:val="00B805D9"/>
    <w:rsid w:val="00C74701"/>
    <w:rsid w:val="00C964E9"/>
    <w:rsid w:val="00CB7909"/>
    <w:rsid w:val="00CC776C"/>
    <w:rsid w:val="00CE71C3"/>
    <w:rsid w:val="00D914A2"/>
    <w:rsid w:val="00DA7BDF"/>
    <w:rsid w:val="00DD0489"/>
    <w:rsid w:val="00DE25BA"/>
    <w:rsid w:val="00E420AC"/>
    <w:rsid w:val="00EA0B9D"/>
    <w:rsid w:val="00F6495B"/>
    <w:rsid w:val="00F73A8B"/>
    <w:rsid w:val="00FA0327"/>
    <w:rsid w:val="00FA0B59"/>
    <w:rsid w:val="00FC6504"/>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7B5"/>
  <w15:chartTrackingRefBased/>
  <w15:docId w15:val="{C386FFB1-1C7F-46CF-B508-FD02BC47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B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E25BA"/>
    <w:pPr>
      <w:ind w:left="720"/>
      <w:contextualSpacing/>
    </w:pPr>
  </w:style>
  <w:style w:type="table" w:styleId="TableGrid">
    <w:name w:val="Table Grid"/>
    <w:basedOn w:val="TableNormal"/>
    <w:uiPriority w:val="59"/>
    <w:rsid w:val="00DE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793712">
      <w:bodyDiv w:val="1"/>
      <w:marLeft w:val="0"/>
      <w:marRight w:val="0"/>
      <w:marTop w:val="0"/>
      <w:marBottom w:val="0"/>
      <w:divBdr>
        <w:top w:val="none" w:sz="0" w:space="0" w:color="auto"/>
        <w:left w:val="none" w:sz="0" w:space="0" w:color="auto"/>
        <w:bottom w:val="none" w:sz="0" w:space="0" w:color="auto"/>
        <w:right w:val="none" w:sz="0" w:space="0" w:color="auto"/>
      </w:divBdr>
      <w:divsChild>
        <w:div w:id="1163282785">
          <w:marLeft w:val="0"/>
          <w:marRight w:val="0"/>
          <w:marTop w:val="0"/>
          <w:marBottom w:val="0"/>
          <w:divBdr>
            <w:top w:val="none" w:sz="0" w:space="0" w:color="auto"/>
            <w:left w:val="none" w:sz="0" w:space="0" w:color="auto"/>
            <w:bottom w:val="none" w:sz="0" w:space="0" w:color="auto"/>
            <w:right w:val="none" w:sz="0" w:space="0" w:color="auto"/>
          </w:divBdr>
        </w:div>
        <w:div w:id="967592288">
          <w:marLeft w:val="0"/>
          <w:marRight w:val="0"/>
          <w:marTop w:val="0"/>
          <w:marBottom w:val="0"/>
          <w:divBdr>
            <w:top w:val="none" w:sz="0" w:space="0" w:color="auto"/>
            <w:left w:val="none" w:sz="0" w:space="0" w:color="auto"/>
            <w:bottom w:val="none" w:sz="0" w:space="0" w:color="auto"/>
            <w:right w:val="none" w:sz="0" w:space="0" w:color="auto"/>
          </w:divBdr>
        </w:div>
        <w:div w:id="646473779">
          <w:marLeft w:val="0"/>
          <w:marRight w:val="0"/>
          <w:marTop w:val="0"/>
          <w:marBottom w:val="0"/>
          <w:divBdr>
            <w:top w:val="none" w:sz="0" w:space="0" w:color="auto"/>
            <w:left w:val="none" w:sz="0" w:space="0" w:color="auto"/>
            <w:bottom w:val="none" w:sz="0" w:space="0" w:color="auto"/>
            <w:right w:val="none" w:sz="0" w:space="0" w:color="auto"/>
          </w:divBdr>
        </w:div>
      </w:divsChild>
    </w:div>
    <w:div w:id="2021733428">
      <w:bodyDiv w:val="1"/>
      <w:marLeft w:val="0"/>
      <w:marRight w:val="0"/>
      <w:marTop w:val="0"/>
      <w:marBottom w:val="0"/>
      <w:divBdr>
        <w:top w:val="none" w:sz="0" w:space="0" w:color="auto"/>
        <w:left w:val="none" w:sz="0" w:space="0" w:color="auto"/>
        <w:bottom w:val="none" w:sz="0" w:space="0" w:color="auto"/>
        <w:right w:val="none" w:sz="0" w:space="0" w:color="auto"/>
      </w:divBdr>
      <w:divsChild>
        <w:div w:id="435902756">
          <w:marLeft w:val="0"/>
          <w:marRight w:val="0"/>
          <w:marTop w:val="0"/>
          <w:marBottom w:val="0"/>
          <w:divBdr>
            <w:top w:val="none" w:sz="0" w:space="0" w:color="auto"/>
            <w:left w:val="none" w:sz="0" w:space="0" w:color="auto"/>
            <w:bottom w:val="none" w:sz="0" w:space="0" w:color="auto"/>
            <w:right w:val="none" w:sz="0" w:space="0" w:color="auto"/>
          </w:divBdr>
        </w:div>
        <w:div w:id="1764760757">
          <w:marLeft w:val="0"/>
          <w:marRight w:val="0"/>
          <w:marTop w:val="0"/>
          <w:marBottom w:val="0"/>
          <w:divBdr>
            <w:top w:val="none" w:sz="0" w:space="0" w:color="auto"/>
            <w:left w:val="none" w:sz="0" w:space="0" w:color="auto"/>
            <w:bottom w:val="none" w:sz="0" w:space="0" w:color="auto"/>
            <w:right w:val="none" w:sz="0" w:space="0" w:color="auto"/>
          </w:divBdr>
        </w:div>
        <w:div w:id="164249658">
          <w:marLeft w:val="0"/>
          <w:marRight w:val="0"/>
          <w:marTop w:val="0"/>
          <w:marBottom w:val="0"/>
          <w:divBdr>
            <w:top w:val="none" w:sz="0" w:space="0" w:color="auto"/>
            <w:left w:val="none" w:sz="0" w:space="0" w:color="auto"/>
            <w:bottom w:val="none" w:sz="0" w:space="0" w:color="auto"/>
            <w:right w:val="none" w:sz="0" w:space="0" w:color="auto"/>
          </w:divBdr>
        </w:div>
      </w:divsChild>
    </w:div>
    <w:div w:id="20774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ste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Shannon</dc:creator>
  <cp:keywords/>
  <dc:description/>
  <cp:lastModifiedBy>Steed, Shannon</cp:lastModifiedBy>
  <cp:revision>3</cp:revision>
  <dcterms:created xsi:type="dcterms:W3CDTF">2025-07-18T16:48:00Z</dcterms:created>
  <dcterms:modified xsi:type="dcterms:W3CDTF">2025-07-18T16:51:00Z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1da8032d-c4fe-48b8-9054-92634c9ea061_Enabled">
    <vt:lpwstr>true</vt:lpwstr>
  </property>
  <property fmtid="{D5CDD505-2E9C-101B-9397-08002B2CF9AE}" pid="9" name="MSIP_Label_1da8032d-c4fe-48b8-9054-92634c9ea061_SetDate">
    <vt:lpwstr>2024-12-10T01:17:58Z</vt:lpwstr>
  </property>
  <property fmtid="{D5CDD505-2E9C-101B-9397-08002B2CF9AE}" pid="10" name="MSIP_Label_1da8032d-c4fe-48b8-9054-92634c9ea061_Method">
    <vt:lpwstr>Standard</vt:lpwstr>
  </property>
  <property fmtid="{D5CDD505-2E9C-101B-9397-08002B2CF9AE}" pid="11" name="MSIP_Label_1da8032d-c4fe-48b8-9054-92634c9ea061_Name">
    <vt:lpwstr>Label 2 - Docs</vt:lpwstr>
  </property>
  <property fmtid="{D5CDD505-2E9C-101B-9397-08002B2CF9AE}" pid="12" name="MSIP_Label_1da8032d-c4fe-48b8-9054-92634c9ea061_SiteId">
    <vt:lpwstr>ce6a0196-6152-4c6a-9d1d-e946c3735743</vt:lpwstr>
  </property>
  <property fmtid="{D5CDD505-2E9C-101B-9397-08002B2CF9AE}" pid="13" name="MSIP_Label_1da8032d-c4fe-48b8-9054-92634c9ea061_ActionId">
    <vt:lpwstr>9a60dcc7-b651-409a-a859-08a818495aeb</vt:lpwstr>
  </property>
  <property fmtid="{D5CDD505-2E9C-101B-9397-08002B2CF9AE}" pid="14" name="MSIP_Label_1da8032d-c4fe-48b8-9054-92634c9ea061_ContentBits">
    <vt:lpwstr>0</vt:lpwstr>
  </property>
</Properties>
</file>