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34076" w14:textId="77777777" w:rsidR="00DE25BA" w:rsidRDefault="00DE25BA" w:rsidP="00DE25BA">
      <w:pPr>
        <w:jc w:val="center"/>
        <w:rPr>
          <w:b/>
          <w:bCs/>
        </w:rPr>
      </w:pPr>
      <w:r>
        <w:rPr>
          <w:noProof/>
        </w:rPr>
        <w:drawing>
          <wp:inline distT="0" distB="0" distL="0" distR="0" wp14:anchorId="7E7897CD" wp14:editId="73649FCF">
            <wp:extent cx="2076450" cy="8631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 CNG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823" cy="887041"/>
                    </a:xfrm>
                    <a:prstGeom prst="rect">
                      <a:avLst/>
                    </a:prstGeom>
                  </pic:spPr>
                </pic:pic>
              </a:graphicData>
            </a:graphic>
          </wp:inline>
        </w:drawing>
      </w:r>
    </w:p>
    <w:p w14:paraId="79CCBAEB" w14:textId="77777777" w:rsidR="00DE25BA" w:rsidRDefault="00DE25BA" w:rsidP="00DE25BA">
      <w:pPr>
        <w:jc w:val="center"/>
        <w:rPr>
          <w:b/>
          <w:bCs/>
        </w:rPr>
      </w:pPr>
    </w:p>
    <w:p w14:paraId="3E2BB139" w14:textId="77777777" w:rsidR="00DE25BA" w:rsidRDefault="00DE25BA" w:rsidP="00DE25BA">
      <w:pPr>
        <w:jc w:val="center"/>
        <w:rPr>
          <w:b/>
          <w:bCs/>
        </w:rPr>
      </w:pPr>
      <w:r>
        <w:rPr>
          <w:b/>
          <w:bCs/>
        </w:rPr>
        <w:t>CARES Advisory Group Meeting Agenda</w:t>
      </w:r>
    </w:p>
    <w:p w14:paraId="2D3AA842" w14:textId="53FC15BD" w:rsidR="00DE25BA" w:rsidRDefault="00B452C2" w:rsidP="00DE25BA">
      <w:pPr>
        <w:jc w:val="center"/>
        <w:rPr>
          <w:b/>
          <w:bCs/>
        </w:rPr>
      </w:pPr>
      <w:r>
        <w:rPr>
          <w:b/>
          <w:bCs/>
        </w:rPr>
        <w:t>August</w:t>
      </w:r>
      <w:r w:rsidR="00DE25BA">
        <w:rPr>
          <w:b/>
          <w:bCs/>
        </w:rPr>
        <w:t xml:space="preserve"> </w:t>
      </w:r>
      <w:r>
        <w:rPr>
          <w:b/>
          <w:bCs/>
        </w:rPr>
        <w:t>20</w:t>
      </w:r>
      <w:r w:rsidR="00DE25BA">
        <w:rPr>
          <w:b/>
          <w:bCs/>
        </w:rPr>
        <w:t>, 202</w:t>
      </w:r>
      <w:r w:rsidR="0027706A">
        <w:rPr>
          <w:b/>
          <w:bCs/>
        </w:rPr>
        <w:t>5</w:t>
      </w:r>
      <w:r w:rsidR="00DE25BA">
        <w:rPr>
          <w:b/>
          <w:bCs/>
        </w:rPr>
        <w:t xml:space="preserve">    2:00 – 3:00pm Pacific</w:t>
      </w:r>
    </w:p>
    <w:p w14:paraId="3E55A991" w14:textId="77777777" w:rsidR="00DE25BA" w:rsidRPr="00051C67" w:rsidRDefault="00DE25BA" w:rsidP="00DE25BA">
      <w:pPr>
        <w:jc w:val="both"/>
      </w:pPr>
    </w:p>
    <w:tbl>
      <w:tblPr>
        <w:tblStyle w:val="TableGrid"/>
        <w:tblW w:w="10350" w:type="dxa"/>
        <w:jc w:val="center"/>
        <w:tblLook w:val="04A0" w:firstRow="1" w:lastRow="0" w:firstColumn="1" w:lastColumn="0" w:noHBand="0" w:noVBand="1"/>
      </w:tblPr>
      <w:tblGrid>
        <w:gridCol w:w="5400"/>
        <w:gridCol w:w="4950"/>
      </w:tblGrid>
      <w:tr w:rsidR="00DE25BA" w:rsidRPr="00F60E65" w14:paraId="0C46443E" w14:textId="77777777" w:rsidTr="005E7B33">
        <w:trPr>
          <w:jc w:val="center"/>
        </w:trPr>
        <w:tc>
          <w:tcPr>
            <w:tcW w:w="5400" w:type="dxa"/>
            <w:shd w:val="clear" w:color="auto" w:fill="D9D9D9" w:themeFill="background1" w:themeFillShade="D9"/>
          </w:tcPr>
          <w:p w14:paraId="7757055A" w14:textId="77777777" w:rsidR="00DE25BA" w:rsidRPr="00F60E65" w:rsidRDefault="00DE25BA" w:rsidP="005E7B33">
            <w:pPr>
              <w:pStyle w:val="ListParagraph"/>
              <w:ind w:left="0"/>
              <w:rPr>
                <w:b/>
              </w:rPr>
            </w:pPr>
            <w:r>
              <w:rPr>
                <w:b/>
              </w:rPr>
              <w:t>Advisory Group Member</w:t>
            </w:r>
          </w:p>
        </w:tc>
        <w:tc>
          <w:tcPr>
            <w:tcW w:w="4950" w:type="dxa"/>
            <w:shd w:val="clear" w:color="auto" w:fill="D9D9D9" w:themeFill="background1" w:themeFillShade="D9"/>
          </w:tcPr>
          <w:p w14:paraId="60753A31" w14:textId="77777777" w:rsidR="00DE25BA" w:rsidRPr="00F60E65" w:rsidRDefault="00DE25BA" w:rsidP="005E7B33">
            <w:pPr>
              <w:pStyle w:val="ListParagraph"/>
              <w:ind w:left="0"/>
              <w:rPr>
                <w:b/>
              </w:rPr>
            </w:pPr>
          </w:p>
        </w:tc>
      </w:tr>
      <w:tr w:rsidR="00DE25BA" w:rsidRPr="00BD08D3" w14:paraId="02F32F81" w14:textId="77777777" w:rsidTr="005E7B33">
        <w:trPr>
          <w:jc w:val="center"/>
        </w:trPr>
        <w:tc>
          <w:tcPr>
            <w:tcW w:w="5400" w:type="dxa"/>
          </w:tcPr>
          <w:p w14:paraId="7EB4BB36" w14:textId="77777777" w:rsidR="00DE25BA" w:rsidRPr="00BD08D3" w:rsidRDefault="00DE25BA" w:rsidP="005E7B33">
            <w:pPr>
              <w:pStyle w:val="ListParagraph"/>
              <w:ind w:left="0"/>
            </w:pPr>
            <w:r w:rsidRPr="00BD08D3">
              <w:t>Blue Mountain Action Council</w:t>
            </w:r>
            <w:r>
              <w:t xml:space="preserve"> (BMAC)</w:t>
            </w:r>
          </w:p>
        </w:tc>
        <w:tc>
          <w:tcPr>
            <w:tcW w:w="4950" w:type="dxa"/>
          </w:tcPr>
          <w:p w14:paraId="767F0BC3" w14:textId="77777777" w:rsidR="00DE25BA" w:rsidRPr="00BD08D3" w:rsidRDefault="00DE25BA" w:rsidP="005E7B33">
            <w:pPr>
              <w:pStyle w:val="ListParagraph"/>
              <w:ind w:left="0"/>
              <w:rPr>
                <w:color w:val="FF0000"/>
              </w:rPr>
            </w:pPr>
            <w:r w:rsidRPr="00BD08D3">
              <w:t>Sylvia Schaefer</w:t>
            </w:r>
          </w:p>
        </w:tc>
      </w:tr>
      <w:tr w:rsidR="00DE25BA" w:rsidRPr="00BD08D3" w14:paraId="1411B599" w14:textId="77777777" w:rsidTr="005E7B33">
        <w:trPr>
          <w:jc w:val="center"/>
        </w:trPr>
        <w:tc>
          <w:tcPr>
            <w:tcW w:w="5400" w:type="dxa"/>
          </w:tcPr>
          <w:p w14:paraId="46721E7C" w14:textId="77777777" w:rsidR="00DE25BA" w:rsidRPr="00BD08D3" w:rsidRDefault="00DE25BA" w:rsidP="005E7B33">
            <w:pPr>
              <w:pStyle w:val="ListParagraph"/>
              <w:ind w:left="0"/>
            </w:pPr>
            <w:r>
              <w:t xml:space="preserve">Benton-Franklin </w:t>
            </w:r>
            <w:r w:rsidRPr="00BD08D3">
              <w:t>Community Action Connections</w:t>
            </w:r>
            <w:r>
              <w:t xml:space="preserve"> (CAC)</w:t>
            </w:r>
          </w:p>
        </w:tc>
        <w:tc>
          <w:tcPr>
            <w:tcW w:w="4950" w:type="dxa"/>
          </w:tcPr>
          <w:p w14:paraId="230864DA" w14:textId="77777777" w:rsidR="00DE25BA" w:rsidRPr="00BD08D3" w:rsidRDefault="00DE25BA" w:rsidP="005E7B33">
            <w:pPr>
              <w:pStyle w:val="ListParagraph"/>
              <w:ind w:left="0"/>
            </w:pPr>
            <w:r w:rsidRPr="00BD08D3">
              <w:t>Dalia Ochoa</w:t>
            </w:r>
          </w:p>
        </w:tc>
      </w:tr>
      <w:tr w:rsidR="00DE25BA" w:rsidRPr="00BD08D3" w14:paraId="628050DE" w14:textId="77777777" w:rsidTr="005E7B33">
        <w:trPr>
          <w:jc w:val="center"/>
        </w:trPr>
        <w:tc>
          <w:tcPr>
            <w:tcW w:w="5400" w:type="dxa"/>
          </w:tcPr>
          <w:p w14:paraId="06705D1E" w14:textId="77777777" w:rsidR="00DE25BA" w:rsidRPr="00BD08D3" w:rsidRDefault="00DE25BA" w:rsidP="005E7B33">
            <w:pPr>
              <w:pStyle w:val="ListParagraph"/>
              <w:ind w:left="0"/>
            </w:pPr>
            <w:r w:rsidRPr="00BD08D3">
              <w:t>Community Action of Lewis, Mason, &amp; Thurston Counties</w:t>
            </w:r>
            <w:r>
              <w:t xml:space="preserve"> (CACLMT)</w:t>
            </w:r>
          </w:p>
        </w:tc>
        <w:tc>
          <w:tcPr>
            <w:tcW w:w="4950" w:type="dxa"/>
          </w:tcPr>
          <w:p w14:paraId="1FB0F3A9" w14:textId="142C2B24" w:rsidR="00DE25BA" w:rsidRPr="00BD08D3" w:rsidRDefault="000A5998" w:rsidP="005E7B33">
            <w:pPr>
              <w:pStyle w:val="ListParagraph"/>
              <w:ind w:left="0"/>
            </w:pPr>
            <w:r>
              <w:t xml:space="preserve">                                                                                       </w:t>
            </w:r>
            <w:r w:rsidR="00DE25BA">
              <w:t>Ester Castro, Stephenie Arnold</w:t>
            </w:r>
          </w:p>
        </w:tc>
      </w:tr>
      <w:tr w:rsidR="00DE25BA" w:rsidRPr="00BD08D3" w14:paraId="263E8125" w14:textId="77777777" w:rsidTr="005E7B33">
        <w:trPr>
          <w:jc w:val="center"/>
        </w:trPr>
        <w:tc>
          <w:tcPr>
            <w:tcW w:w="5400" w:type="dxa"/>
          </w:tcPr>
          <w:p w14:paraId="6FAB3082" w14:textId="77777777" w:rsidR="00DE25BA" w:rsidRPr="00BD08D3" w:rsidRDefault="00DE25BA" w:rsidP="005E7B33">
            <w:pPr>
              <w:pStyle w:val="ListParagraph"/>
              <w:ind w:left="0"/>
            </w:pPr>
            <w:r w:rsidRPr="00BD08D3">
              <w:t>Coastal Community Action Program</w:t>
            </w:r>
            <w:r>
              <w:t xml:space="preserve"> (CCAP)</w:t>
            </w:r>
          </w:p>
        </w:tc>
        <w:tc>
          <w:tcPr>
            <w:tcW w:w="4950" w:type="dxa"/>
          </w:tcPr>
          <w:p w14:paraId="1570DF98" w14:textId="77777777" w:rsidR="00DE25BA" w:rsidRPr="00BD08D3" w:rsidRDefault="00DE25BA" w:rsidP="005E7B33">
            <w:pPr>
              <w:pStyle w:val="ListParagraph"/>
              <w:ind w:left="0"/>
            </w:pPr>
            <w:r w:rsidRPr="00BD08D3">
              <w:t>Debbie Gregg</w:t>
            </w:r>
          </w:p>
        </w:tc>
      </w:tr>
      <w:tr w:rsidR="00DE25BA" w:rsidRPr="00BD08D3" w14:paraId="71052967" w14:textId="77777777" w:rsidTr="005E7B33">
        <w:trPr>
          <w:jc w:val="center"/>
        </w:trPr>
        <w:tc>
          <w:tcPr>
            <w:tcW w:w="5400" w:type="dxa"/>
          </w:tcPr>
          <w:p w14:paraId="46ED2163" w14:textId="77777777" w:rsidR="00DE25BA" w:rsidRPr="00BD08D3" w:rsidRDefault="00DE25BA" w:rsidP="005E7B33">
            <w:pPr>
              <w:pStyle w:val="ListParagraph"/>
              <w:ind w:left="0"/>
            </w:pPr>
            <w:r w:rsidRPr="00BD08D3">
              <w:t>Chelan-Douglas Community Action Council</w:t>
            </w:r>
            <w:r>
              <w:t xml:space="preserve"> (CDCAC)</w:t>
            </w:r>
          </w:p>
        </w:tc>
        <w:tc>
          <w:tcPr>
            <w:tcW w:w="4950" w:type="dxa"/>
          </w:tcPr>
          <w:p w14:paraId="1226AE9B" w14:textId="77777777" w:rsidR="00DE25BA" w:rsidRPr="00BD08D3" w:rsidRDefault="00DE25BA" w:rsidP="005E7B33">
            <w:pPr>
              <w:pStyle w:val="ListParagraph"/>
              <w:ind w:left="0"/>
            </w:pPr>
            <w:r>
              <w:t>Tom Bonwell, Sarah Brito, Alan Walker</w:t>
            </w:r>
          </w:p>
        </w:tc>
      </w:tr>
      <w:tr w:rsidR="00DE25BA" w:rsidRPr="00BD08D3" w14:paraId="714555AD" w14:textId="77777777" w:rsidTr="005E7B33">
        <w:trPr>
          <w:jc w:val="center"/>
        </w:trPr>
        <w:tc>
          <w:tcPr>
            <w:tcW w:w="5400" w:type="dxa"/>
          </w:tcPr>
          <w:p w14:paraId="6E123DFD" w14:textId="77777777" w:rsidR="00DE25BA" w:rsidRPr="00BD08D3" w:rsidRDefault="00DE25BA" w:rsidP="005E7B33">
            <w:pPr>
              <w:pStyle w:val="ListParagraph"/>
              <w:ind w:left="0"/>
            </w:pPr>
            <w:r w:rsidRPr="00BD08D3">
              <w:t>Kitsap Community Resources</w:t>
            </w:r>
            <w:r>
              <w:t xml:space="preserve"> (KCR)</w:t>
            </w:r>
          </w:p>
        </w:tc>
        <w:tc>
          <w:tcPr>
            <w:tcW w:w="4950" w:type="dxa"/>
          </w:tcPr>
          <w:p w14:paraId="4CE11090" w14:textId="77777777" w:rsidR="00DE25BA" w:rsidRPr="00BD08D3" w:rsidRDefault="00DE25BA" w:rsidP="005E7B33">
            <w:pPr>
              <w:pStyle w:val="ListParagraph"/>
              <w:ind w:left="0"/>
              <w:rPr>
                <w:rFonts w:eastAsia="Times New Roman"/>
              </w:rPr>
            </w:pPr>
            <w:r w:rsidRPr="00BD08D3">
              <w:rPr>
                <w:rFonts w:eastAsia="Times New Roman"/>
              </w:rPr>
              <w:t>Kandi Balandran</w:t>
            </w:r>
          </w:p>
        </w:tc>
      </w:tr>
      <w:tr w:rsidR="00DE25BA" w:rsidRPr="00BD08D3" w14:paraId="3ED54A08" w14:textId="77777777" w:rsidTr="005E7B33">
        <w:trPr>
          <w:jc w:val="center"/>
        </w:trPr>
        <w:tc>
          <w:tcPr>
            <w:tcW w:w="5400" w:type="dxa"/>
          </w:tcPr>
          <w:p w14:paraId="0BF4C73C" w14:textId="77777777" w:rsidR="00DE25BA" w:rsidRPr="00BD08D3" w:rsidRDefault="00DE25BA" w:rsidP="005E7B33">
            <w:pPr>
              <w:pStyle w:val="ListParagraph"/>
              <w:ind w:left="0"/>
            </w:pPr>
            <w:r w:rsidRPr="00BD08D3">
              <w:t>Lower Columbia Community Action Center</w:t>
            </w:r>
            <w:r>
              <w:t xml:space="preserve"> (LCCAP)</w:t>
            </w:r>
          </w:p>
        </w:tc>
        <w:tc>
          <w:tcPr>
            <w:tcW w:w="4950" w:type="dxa"/>
          </w:tcPr>
          <w:p w14:paraId="488C062A" w14:textId="77777777" w:rsidR="00DE25BA" w:rsidRPr="00BD08D3" w:rsidRDefault="00DE25BA" w:rsidP="005E7B33">
            <w:pPr>
              <w:pStyle w:val="ListParagraph"/>
              <w:ind w:left="0"/>
              <w:rPr>
                <w:rFonts w:eastAsia="Times New Roman"/>
              </w:rPr>
            </w:pPr>
            <w:r w:rsidRPr="00BD08D3">
              <w:rPr>
                <w:rFonts w:eastAsia="Times New Roman"/>
              </w:rPr>
              <w:t>Kathy Bates</w:t>
            </w:r>
          </w:p>
        </w:tc>
      </w:tr>
      <w:tr w:rsidR="00DE25BA" w:rsidRPr="00BD08D3" w14:paraId="53CC7A8E" w14:textId="77777777" w:rsidTr="005E7B33">
        <w:trPr>
          <w:jc w:val="center"/>
        </w:trPr>
        <w:tc>
          <w:tcPr>
            <w:tcW w:w="5400" w:type="dxa"/>
          </w:tcPr>
          <w:p w14:paraId="1785E768" w14:textId="77777777" w:rsidR="00DE25BA" w:rsidRPr="00BD08D3" w:rsidRDefault="00DE25BA" w:rsidP="005E7B33">
            <w:pPr>
              <w:pStyle w:val="ListParagraph"/>
              <w:ind w:left="0"/>
            </w:pPr>
            <w:r w:rsidRPr="00BD08D3">
              <w:t>NW Community Action Center</w:t>
            </w:r>
            <w:r>
              <w:t xml:space="preserve"> (NCAC)</w:t>
            </w:r>
          </w:p>
        </w:tc>
        <w:tc>
          <w:tcPr>
            <w:tcW w:w="4950" w:type="dxa"/>
          </w:tcPr>
          <w:p w14:paraId="070B33BC" w14:textId="77777777" w:rsidR="00DE25BA" w:rsidRPr="00BD08D3" w:rsidRDefault="00DE25BA" w:rsidP="005E7B33">
            <w:pPr>
              <w:pStyle w:val="ListParagraph"/>
              <w:ind w:left="0"/>
              <w:rPr>
                <w:rFonts w:eastAsia="Times New Roman"/>
              </w:rPr>
            </w:pPr>
            <w:r w:rsidRPr="00BD08D3">
              <w:rPr>
                <w:rFonts w:eastAsia="Times New Roman"/>
              </w:rPr>
              <w:t>Jose Alvarez</w:t>
            </w:r>
          </w:p>
        </w:tc>
      </w:tr>
      <w:tr w:rsidR="00DE25BA" w:rsidRPr="00BD08D3" w14:paraId="0D5AA300" w14:textId="77777777" w:rsidTr="005E7B33">
        <w:trPr>
          <w:jc w:val="center"/>
        </w:trPr>
        <w:tc>
          <w:tcPr>
            <w:tcW w:w="5400" w:type="dxa"/>
          </w:tcPr>
          <w:p w14:paraId="66866975" w14:textId="77777777" w:rsidR="00DE25BA" w:rsidRPr="00BD08D3" w:rsidRDefault="00DE25BA" w:rsidP="005E7B33">
            <w:pPr>
              <w:pStyle w:val="ListParagraph"/>
              <w:ind w:left="0"/>
            </w:pPr>
            <w:r w:rsidRPr="00BD08D3">
              <w:t>OIC of Washington</w:t>
            </w:r>
            <w:r>
              <w:t xml:space="preserve"> (OIC)</w:t>
            </w:r>
          </w:p>
        </w:tc>
        <w:tc>
          <w:tcPr>
            <w:tcW w:w="4950" w:type="dxa"/>
          </w:tcPr>
          <w:p w14:paraId="4D889F78" w14:textId="77777777" w:rsidR="00DE25BA" w:rsidRPr="00BD08D3" w:rsidRDefault="00DE25BA" w:rsidP="005E7B33">
            <w:pPr>
              <w:pStyle w:val="ListParagraph"/>
              <w:ind w:left="0"/>
              <w:rPr>
                <w:rFonts w:eastAsia="Times New Roman"/>
              </w:rPr>
            </w:pPr>
            <w:r w:rsidRPr="00BD08D3">
              <w:rPr>
                <w:rFonts w:eastAsia="Times New Roman"/>
              </w:rPr>
              <w:t>Heidi Silva, Casandra Ochoa</w:t>
            </w:r>
            <w:r>
              <w:rPr>
                <w:rFonts w:eastAsia="Times New Roman"/>
              </w:rPr>
              <w:t>, Candi Jaeger</w:t>
            </w:r>
          </w:p>
        </w:tc>
      </w:tr>
      <w:tr w:rsidR="00DE25BA" w:rsidRPr="00BD08D3" w14:paraId="088E1A5D" w14:textId="77777777" w:rsidTr="005E7B33">
        <w:trPr>
          <w:jc w:val="center"/>
        </w:trPr>
        <w:tc>
          <w:tcPr>
            <w:tcW w:w="5400" w:type="dxa"/>
          </w:tcPr>
          <w:p w14:paraId="692BF9C2" w14:textId="77777777" w:rsidR="00DE25BA" w:rsidRPr="00BD08D3" w:rsidRDefault="00DE25BA" w:rsidP="005E7B33">
            <w:pPr>
              <w:pStyle w:val="ListParagraph"/>
              <w:ind w:left="0"/>
            </w:pPr>
            <w:r w:rsidRPr="00BD08D3">
              <w:t>Opportunity Council</w:t>
            </w:r>
            <w:r>
              <w:t xml:space="preserve"> (OPPCO)</w:t>
            </w:r>
          </w:p>
        </w:tc>
        <w:tc>
          <w:tcPr>
            <w:tcW w:w="4950" w:type="dxa"/>
          </w:tcPr>
          <w:p w14:paraId="5719819C" w14:textId="77777777" w:rsidR="00DE25BA" w:rsidRPr="00BD08D3" w:rsidRDefault="00DE25BA" w:rsidP="005E7B33">
            <w:pPr>
              <w:pStyle w:val="ListParagraph"/>
              <w:ind w:left="0"/>
              <w:rPr>
                <w:rFonts w:eastAsia="Times New Roman"/>
              </w:rPr>
            </w:pPr>
            <w:r w:rsidRPr="00BD08D3">
              <w:rPr>
                <w:rFonts w:eastAsia="Times New Roman"/>
              </w:rPr>
              <w:t xml:space="preserve">Marie </w:t>
            </w:r>
            <w:r>
              <w:rPr>
                <w:rFonts w:eastAsia="Times New Roman"/>
              </w:rPr>
              <w:t>Stanley, Melissa Gong</w:t>
            </w:r>
          </w:p>
        </w:tc>
      </w:tr>
      <w:tr w:rsidR="00DE25BA" w:rsidRPr="00BD08D3" w14:paraId="059EF0DE" w14:textId="77777777" w:rsidTr="005E7B33">
        <w:trPr>
          <w:jc w:val="center"/>
        </w:trPr>
        <w:tc>
          <w:tcPr>
            <w:tcW w:w="5400" w:type="dxa"/>
          </w:tcPr>
          <w:p w14:paraId="4E960959" w14:textId="77777777" w:rsidR="00DE25BA" w:rsidRPr="00BD08D3" w:rsidRDefault="00DE25BA" w:rsidP="005E7B33">
            <w:pPr>
              <w:pStyle w:val="ListParagraph"/>
              <w:ind w:left="0"/>
            </w:pPr>
            <w:r w:rsidRPr="00BD08D3">
              <w:t>Community Action of Skagit County</w:t>
            </w:r>
            <w:r>
              <w:t xml:space="preserve"> (SCCAA)</w:t>
            </w:r>
          </w:p>
        </w:tc>
        <w:tc>
          <w:tcPr>
            <w:tcW w:w="4950" w:type="dxa"/>
          </w:tcPr>
          <w:p w14:paraId="6CF17192" w14:textId="77777777" w:rsidR="00DE25BA" w:rsidRPr="00BD08D3" w:rsidRDefault="00DE25BA" w:rsidP="005E7B33">
            <w:pPr>
              <w:pStyle w:val="ListParagraph"/>
              <w:ind w:left="0"/>
              <w:rPr>
                <w:rFonts w:eastAsia="Times New Roman"/>
              </w:rPr>
            </w:pPr>
            <w:r w:rsidRPr="00BD08D3">
              <w:rPr>
                <w:rFonts w:eastAsia="Times New Roman"/>
              </w:rPr>
              <w:t>Misty Velasquez</w:t>
            </w:r>
          </w:p>
        </w:tc>
      </w:tr>
      <w:tr w:rsidR="00DE25BA" w:rsidRPr="00BD08D3" w14:paraId="317E1DB1" w14:textId="77777777" w:rsidTr="005E7B33">
        <w:trPr>
          <w:jc w:val="center"/>
        </w:trPr>
        <w:tc>
          <w:tcPr>
            <w:tcW w:w="5400" w:type="dxa"/>
          </w:tcPr>
          <w:p w14:paraId="3D8B2DD2" w14:textId="77777777" w:rsidR="00DE25BA" w:rsidRPr="00BD08D3" w:rsidRDefault="00DE25BA" w:rsidP="005E7B33">
            <w:pPr>
              <w:pStyle w:val="ListParagraph"/>
              <w:ind w:left="0"/>
            </w:pPr>
            <w:r w:rsidRPr="00BD08D3">
              <w:t>Snohomish County Human Services Dept</w:t>
            </w:r>
            <w:r>
              <w:t xml:space="preserve"> (SCEAP)</w:t>
            </w:r>
          </w:p>
        </w:tc>
        <w:tc>
          <w:tcPr>
            <w:tcW w:w="4950" w:type="dxa"/>
          </w:tcPr>
          <w:p w14:paraId="1F699B78" w14:textId="77777777" w:rsidR="00DE25BA" w:rsidRPr="00BD08D3" w:rsidRDefault="00DE25BA" w:rsidP="005E7B33">
            <w:pPr>
              <w:pStyle w:val="ListParagraph"/>
              <w:ind w:left="0"/>
              <w:rPr>
                <w:rFonts w:eastAsia="Times New Roman"/>
              </w:rPr>
            </w:pPr>
            <w:r>
              <w:rPr>
                <w:rFonts w:eastAsia="Times New Roman"/>
              </w:rPr>
              <w:t>Constance Hockett, Traci Baugh</w:t>
            </w:r>
          </w:p>
        </w:tc>
      </w:tr>
      <w:tr w:rsidR="00DE25BA" w:rsidRPr="008D60BE" w14:paraId="6CC37784" w14:textId="77777777" w:rsidTr="005E7B33">
        <w:trPr>
          <w:jc w:val="center"/>
        </w:trPr>
        <w:tc>
          <w:tcPr>
            <w:tcW w:w="5400" w:type="dxa"/>
            <w:shd w:val="clear" w:color="auto" w:fill="auto"/>
          </w:tcPr>
          <w:p w14:paraId="4E45D3A3" w14:textId="77777777" w:rsidR="00DE25BA" w:rsidRPr="008D60BE" w:rsidRDefault="00DE25BA" w:rsidP="005E7B33">
            <w:pPr>
              <w:pStyle w:val="ListParagraph"/>
              <w:ind w:left="0"/>
              <w:rPr>
                <w:bCs/>
              </w:rPr>
            </w:pPr>
            <w:r w:rsidRPr="008D60BE">
              <w:rPr>
                <w:bCs/>
              </w:rPr>
              <w:t>WUTC Staff</w:t>
            </w:r>
          </w:p>
        </w:tc>
        <w:tc>
          <w:tcPr>
            <w:tcW w:w="4950" w:type="dxa"/>
            <w:shd w:val="clear" w:color="auto" w:fill="auto"/>
          </w:tcPr>
          <w:p w14:paraId="67D4E0DD" w14:textId="1C01C441" w:rsidR="00DE25BA" w:rsidRPr="008D60BE" w:rsidRDefault="00DE25BA" w:rsidP="005E7B33">
            <w:pPr>
              <w:pStyle w:val="ListParagraph"/>
              <w:ind w:left="0"/>
              <w:rPr>
                <w:bCs/>
              </w:rPr>
            </w:pPr>
            <w:r w:rsidRPr="008D60BE">
              <w:rPr>
                <w:bCs/>
              </w:rPr>
              <w:t>Andrew Roberts, Andy Sellards</w:t>
            </w:r>
            <w:r>
              <w:rPr>
                <w:bCs/>
              </w:rPr>
              <w:t>, Corey Cook, Jacque Hawkins-Jones, Keith Quinata</w:t>
            </w:r>
            <w:r w:rsidR="008773D4">
              <w:rPr>
                <w:bCs/>
              </w:rPr>
              <w:t>, Sylvana Sorrells</w:t>
            </w:r>
          </w:p>
        </w:tc>
      </w:tr>
      <w:tr w:rsidR="00DE25BA" w:rsidRPr="008D60BE" w14:paraId="1B21190F" w14:textId="77777777" w:rsidTr="005E7B33">
        <w:trPr>
          <w:jc w:val="center"/>
        </w:trPr>
        <w:tc>
          <w:tcPr>
            <w:tcW w:w="5400" w:type="dxa"/>
            <w:shd w:val="clear" w:color="auto" w:fill="auto"/>
          </w:tcPr>
          <w:p w14:paraId="21CCFF1D" w14:textId="77777777" w:rsidR="00DE25BA" w:rsidRPr="008D60BE" w:rsidRDefault="00DE25BA" w:rsidP="005E7B33">
            <w:pPr>
              <w:pStyle w:val="ListParagraph"/>
              <w:ind w:left="0"/>
              <w:rPr>
                <w:bCs/>
              </w:rPr>
            </w:pPr>
            <w:r w:rsidRPr="008D60BE">
              <w:rPr>
                <w:bCs/>
              </w:rPr>
              <w:t>The Energy Project</w:t>
            </w:r>
          </w:p>
        </w:tc>
        <w:tc>
          <w:tcPr>
            <w:tcW w:w="4950" w:type="dxa"/>
            <w:shd w:val="clear" w:color="auto" w:fill="auto"/>
          </w:tcPr>
          <w:p w14:paraId="5063AE43" w14:textId="77777777" w:rsidR="00DE25BA" w:rsidRPr="008D60BE" w:rsidRDefault="00DE25BA" w:rsidP="005E7B33">
            <w:pPr>
              <w:pStyle w:val="ListParagraph"/>
              <w:ind w:left="0"/>
              <w:rPr>
                <w:bCs/>
              </w:rPr>
            </w:pPr>
            <w:r>
              <w:rPr>
                <w:bCs/>
              </w:rPr>
              <w:t>Shaylee Stokes</w:t>
            </w:r>
          </w:p>
        </w:tc>
      </w:tr>
      <w:tr w:rsidR="00DE25BA" w:rsidRPr="008D60BE" w14:paraId="44B7FB75" w14:textId="77777777" w:rsidTr="005E7B33">
        <w:trPr>
          <w:jc w:val="center"/>
        </w:trPr>
        <w:tc>
          <w:tcPr>
            <w:tcW w:w="5400" w:type="dxa"/>
            <w:shd w:val="clear" w:color="auto" w:fill="auto"/>
          </w:tcPr>
          <w:p w14:paraId="5FCB0A52" w14:textId="77777777" w:rsidR="00DE25BA" w:rsidRPr="008D60BE" w:rsidRDefault="00DE25BA" w:rsidP="005E7B33">
            <w:pPr>
              <w:pStyle w:val="ListParagraph"/>
              <w:ind w:left="0"/>
              <w:rPr>
                <w:bCs/>
              </w:rPr>
            </w:pPr>
            <w:r w:rsidRPr="008D60BE">
              <w:rPr>
                <w:bCs/>
              </w:rPr>
              <w:t>Public Counsel</w:t>
            </w:r>
          </w:p>
        </w:tc>
        <w:tc>
          <w:tcPr>
            <w:tcW w:w="4950" w:type="dxa"/>
            <w:shd w:val="clear" w:color="auto" w:fill="auto"/>
          </w:tcPr>
          <w:p w14:paraId="0B57DCA2" w14:textId="7B5D8DE9" w:rsidR="00DE25BA" w:rsidRPr="008D60BE" w:rsidRDefault="002D646B" w:rsidP="005E7B33">
            <w:pPr>
              <w:pStyle w:val="ListParagraph"/>
              <w:ind w:left="0"/>
              <w:rPr>
                <w:bCs/>
              </w:rPr>
            </w:pPr>
            <w:r>
              <w:rPr>
                <w:bCs/>
              </w:rPr>
              <w:t>Kai Hiatt</w:t>
            </w:r>
          </w:p>
        </w:tc>
      </w:tr>
      <w:tr w:rsidR="00DE25BA" w:rsidRPr="008D60BE" w14:paraId="4302B46C" w14:textId="77777777" w:rsidTr="005E7B33">
        <w:trPr>
          <w:jc w:val="center"/>
        </w:trPr>
        <w:tc>
          <w:tcPr>
            <w:tcW w:w="5400" w:type="dxa"/>
            <w:shd w:val="clear" w:color="auto" w:fill="auto"/>
          </w:tcPr>
          <w:p w14:paraId="613691B7" w14:textId="77777777" w:rsidR="00DE25BA" w:rsidRPr="008D60BE" w:rsidRDefault="00DE25BA" w:rsidP="005E7B33">
            <w:pPr>
              <w:pStyle w:val="ListParagraph"/>
              <w:ind w:left="0"/>
              <w:rPr>
                <w:bCs/>
              </w:rPr>
            </w:pPr>
            <w:r w:rsidRPr="008D60BE">
              <w:rPr>
                <w:bCs/>
              </w:rPr>
              <w:t>NW Energy Coalition</w:t>
            </w:r>
          </w:p>
        </w:tc>
        <w:tc>
          <w:tcPr>
            <w:tcW w:w="4950" w:type="dxa"/>
            <w:shd w:val="clear" w:color="auto" w:fill="auto"/>
          </w:tcPr>
          <w:p w14:paraId="05810DFF" w14:textId="77777777" w:rsidR="00DE25BA" w:rsidRPr="008D60BE" w:rsidRDefault="00DE25BA" w:rsidP="005E7B33">
            <w:pPr>
              <w:pStyle w:val="ListParagraph"/>
              <w:ind w:left="0"/>
              <w:rPr>
                <w:bCs/>
              </w:rPr>
            </w:pPr>
            <w:r w:rsidRPr="008D60BE">
              <w:rPr>
                <w:bCs/>
              </w:rPr>
              <w:t>Charlee Thompson</w:t>
            </w:r>
          </w:p>
        </w:tc>
      </w:tr>
      <w:tr w:rsidR="00DE25BA" w:rsidRPr="008D60BE" w14:paraId="7B6C7201" w14:textId="77777777" w:rsidTr="005E7B33">
        <w:trPr>
          <w:jc w:val="center"/>
        </w:trPr>
        <w:tc>
          <w:tcPr>
            <w:tcW w:w="5400" w:type="dxa"/>
            <w:tcBorders>
              <w:bottom w:val="single" w:sz="4" w:space="0" w:color="auto"/>
            </w:tcBorders>
            <w:shd w:val="clear" w:color="auto" w:fill="auto"/>
          </w:tcPr>
          <w:p w14:paraId="59D06355" w14:textId="77777777" w:rsidR="00DE25BA" w:rsidRPr="008D60BE" w:rsidRDefault="00DE25BA" w:rsidP="005E7B33">
            <w:pPr>
              <w:pStyle w:val="ListParagraph"/>
              <w:ind w:left="0"/>
              <w:rPr>
                <w:bCs/>
              </w:rPr>
            </w:pPr>
            <w:r w:rsidRPr="008D60BE">
              <w:rPr>
                <w:bCs/>
              </w:rPr>
              <w:t>Department of Commerce</w:t>
            </w:r>
          </w:p>
        </w:tc>
        <w:tc>
          <w:tcPr>
            <w:tcW w:w="4950" w:type="dxa"/>
            <w:tcBorders>
              <w:bottom w:val="single" w:sz="4" w:space="0" w:color="auto"/>
            </w:tcBorders>
            <w:shd w:val="clear" w:color="auto" w:fill="auto"/>
          </w:tcPr>
          <w:p w14:paraId="2A7F9463" w14:textId="77777777" w:rsidR="00DE25BA" w:rsidRPr="008D60BE" w:rsidRDefault="00DE25BA" w:rsidP="005E7B33">
            <w:pPr>
              <w:pStyle w:val="ListParagraph"/>
              <w:ind w:left="0"/>
              <w:rPr>
                <w:bCs/>
              </w:rPr>
            </w:pPr>
            <w:r w:rsidRPr="008D60BE">
              <w:rPr>
                <w:bCs/>
              </w:rPr>
              <w:t>Michelle DeBell</w:t>
            </w:r>
          </w:p>
        </w:tc>
      </w:tr>
      <w:tr w:rsidR="00DE25BA" w:rsidRPr="008D60BE" w14:paraId="456CA980" w14:textId="77777777" w:rsidTr="005E7B33">
        <w:trPr>
          <w:jc w:val="center"/>
        </w:trPr>
        <w:tc>
          <w:tcPr>
            <w:tcW w:w="5400" w:type="dxa"/>
            <w:tcBorders>
              <w:right w:val="nil"/>
            </w:tcBorders>
            <w:shd w:val="clear" w:color="auto" w:fill="D9D9D9" w:themeFill="background1" w:themeFillShade="D9"/>
          </w:tcPr>
          <w:p w14:paraId="0A5E7A9D" w14:textId="77777777" w:rsidR="00DE25BA" w:rsidRPr="008D60BE" w:rsidRDefault="00DE25BA" w:rsidP="005E7B33">
            <w:pPr>
              <w:pStyle w:val="ListParagraph"/>
              <w:ind w:left="0"/>
              <w:rPr>
                <w:b/>
              </w:rPr>
            </w:pPr>
            <w:r w:rsidRPr="008D60BE">
              <w:rPr>
                <w:b/>
              </w:rPr>
              <w:t>Cascade Natural Gas</w:t>
            </w:r>
          </w:p>
        </w:tc>
        <w:tc>
          <w:tcPr>
            <w:tcW w:w="4950" w:type="dxa"/>
            <w:tcBorders>
              <w:left w:val="nil"/>
            </w:tcBorders>
            <w:shd w:val="clear" w:color="auto" w:fill="D9D9D9" w:themeFill="background1" w:themeFillShade="D9"/>
          </w:tcPr>
          <w:p w14:paraId="6592A263" w14:textId="77777777" w:rsidR="00DE25BA" w:rsidRPr="008D60BE" w:rsidRDefault="00DE25BA" w:rsidP="005E7B33">
            <w:pPr>
              <w:pStyle w:val="ListParagraph"/>
              <w:ind w:left="0"/>
              <w:rPr>
                <w:b/>
              </w:rPr>
            </w:pPr>
          </w:p>
        </w:tc>
      </w:tr>
      <w:tr w:rsidR="00DE25BA" w:rsidRPr="00BD08D3" w14:paraId="2CD76265" w14:textId="77777777" w:rsidTr="005E7B33">
        <w:trPr>
          <w:jc w:val="center"/>
        </w:trPr>
        <w:tc>
          <w:tcPr>
            <w:tcW w:w="5400" w:type="dxa"/>
          </w:tcPr>
          <w:p w14:paraId="74AF5ECD" w14:textId="439D6C32" w:rsidR="00DE25BA" w:rsidRPr="00BD08D3" w:rsidRDefault="0027706A" w:rsidP="005E7B33">
            <w:pPr>
              <w:pStyle w:val="ListParagraph"/>
              <w:ind w:left="0"/>
            </w:pPr>
            <w:r w:rsidRPr="00BD08D3">
              <w:t xml:space="preserve">Dan Tillis, Dir Customer </w:t>
            </w:r>
            <w:r>
              <w:t>Experience</w:t>
            </w:r>
          </w:p>
        </w:tc>
        <w:tc>
          <w:tcPr>
            <w:tcW w:w="4950" w:type="dxa"/>
            <w:tcBorders>
              <w:bottom w:val="single" w:sz="4" w:space="0" w:color="auto"/>
            </w:tcBorders>
          </w:tcPr>
          <w:p w14:paraId="06D4CD5F" w14:textId="77777777" w:rsidR="00DE25BA" w:rsidRPr="00BD08D3" w:rsidRDefault="00DE25BA" w:rsidP="005E7B33">
            <w:pPr>
              <w:pStyle w:val="ListParagraph"/>
              <w:ind w:left="0"/>
            </w:pPr>
            <w:r>
              <w:t>Lori Blattner, Dir Regulatory Affairs</w:t>
            </w:r>
          </w:p>
        </w:tc>
      </w:tr>
      <w:tr w:rsidR="0027706A" w:rsidRPr="00BD08D3" w14:paraId="42B35EB3" w14:textId="77777777" w:rsidTr="005E7B33">
        <w:trPr>
          <w:jc w:val="center"/>
        </w:trPr>
        <w:tc>
          <w:tcPr>
            <w:tcW w:w="5400" w:type="dxa"/>
          </w:tcPr>
          <w:p w14:paraId="5DE68EF6" w14:textId="7B3E443B" w:rsidR="0027706A" w:rsidRPr="00BD08D3" w:rsidRDefault="0027706A" w:rsidP="0027706A">
            <w:pPr>
              <w:pStyle w:val="ListParagraph"/>
              <w:ind w:left="0"/>
              <w:rPr>
                <w:b/>
              </w:rPr>
            </w:pPr>
            <w:r>
              <w:t>Teri Sovak, Mgr Customer Service, Credit &amp; Collections</w:t>
            </w:r>
          </w:p>
        </w:tc>
        <w:tc>
          <w:tcPr>
            <w:tcW w:w="4950" w:type="dxa"/>
            <w:tcBorders>
              <w:bottom w:val="single" w:sz="4" w:space="0" w:color="auto"/>
            </w:tcBorders>
          </w:tcPr>
          <w:p w14:paraId="71075E23" w14:textId="77777777" w:rsidR="0027706A" w:rsidRPr="00BD08D3" w:rsidRDefault="0027706A" w:rsidP="0027706A">
            <w:pPr>
              <w:pStyle w:val="ListParagraph"/>
              <w:ind w:left="0"/>
            </w:pPr>
            <w:r>
              <w:t>Noemi Ortiz, Mgr OR Conservation &amp; Weatherization</w:t>
            </w:r>
          </w:p>
        </w:tc>
      </w:tr>
      <w:tr w:rsidR="0027706A" w:rsidRPr="00BD08D3" w14:paraId="6A78CB82" w14:textId="77777777" w:rsidTr="005E7B33">
        <w:trPr>
          <w:jc w:val="center"/>
        </w:trPr>
        <w:tc>
          <w:tcPr>
            <w:tcW w:w="5400" w:type="dxa"/>
          </w:tcPr>
          <w:p w14:paraId="7644C7C6" w14:textId="5F164315" w:rsidR="0027706A" w:rsidRPr="00BD08D3" w:rsidRDefault="0027706A" w:rsidP="0027706A">
            <w:pPr>
              <w:pStyle w:val="ListParagraph"/>
              <w:ind w:left="0"/>
            </w:pPr>
            <w:r w:rsidRPr="00BD08D3">
              <w:rPr>
                <w:bCs/>
              </w:rPr>
              <w:t>Shannon Steed, Consumer Specialist</w:t>
            </w:r>
          </w:p>
        </w:tc>
        <w:tc>
          <w:tcPr>
            <w:tcW w:w="4950" w:type="dxa"/>
            <w:shd w:val="clear" w:color="auto" w:fill="auto"/>
          </w:tcPr>
          <w:p w14:paraId="47B0F376" w14:textId="1E2146B0" w:rsidR="0027706A" w:rsidRPr="00BD08D3" w:rsidRDefault="0027706A" w:rsidP="0027706A">
            <w:pPr>
              <w:pStyle w:val="ListParagraph"/>
              <w:ind w:left="0"/>
            </w:pPr>
            <w:r>
              <w:t xml:space="preserve">Jennifer Gross, </w:t>
            </w:r>
            <w:r w:rsidR="00A93469">
              <w:t>Mgr Regulatory Affairs</w:t>
            </w:r>
          </w:p>
        </w:tc>
      </w:tr>
      <w:tr w:rsidR="00CB7909" w:rsidRPr="00BD08D3" w14:paraId="7254253A" w14:textId="77777777" w:rsidTr="005E7B33">
        <w:trPr>
          <w:jc w:val="center"/>
        </w:trPr>
        <w:tc>
          <w:tcPr>
            <w:tcW w:w="5400" w:type="dxa"/>
          </w:tcPr>
          <w:p w14:paraId="4B1A82E2" w14:textId="3FC46FCC" w:rsidR="00CB7909" w:rsidRPr="00BD08D3" w:rsidRDefault="00CB7909" w:rsidP="0027706A">
            <w:pPr>
              <w:pStyle w:val="ListParagraph"/>
              <w:ind w:left="0"/>
              <w:rPr>
                <w:bCs/>
              </w:rPr>
            </w:pPr>
            <w:r>
              <w:rPr>
                <w:bCs/>
              </w:rPr>
              <w:t>Rodney Fowler, Business Analyst</w:t>
            </w:r>
          </w:p>
        </w:tc>
        <w:tc>
          <w:tcPr>
            <w:tcW w:w="4950" w:type="dxa"/>
            <w:shd w:val="clear" w:color="auto" w:fill="auto"/>
          </w:tcPr>
          <w:p w14:paraId="531BF35D" w14:textId="77777777" w:rsidR="00CB7909" w:rsidRDefault="00CB7909" w:rsidP="0027706A">
            <w:pPr>
              <w:pStyle w:val="ListParagraph"/>
              <w:ind w:left="0"/>
            </w:pPr>
          </w:p>
        </w:tc>
      </w:tr>
    </w:tbl>
    <w:p w14:paraId="4314852F" w14:textId="65BB85CF" w:rsidR="00EA0B9D" w:rsidRDefault="00EA0B9D" w:rsidP="003F54EC"/>
    <w:p w14:paraId="360C0179" w14:textId="123640CC" w:rsidR="00B452C2" w:rsidRDefault="00F57863" w:rsidP="00B452C2">
      <w:pPr>
        <w:pStyle w:val="ListParagraph"/>
        <w:numPr>
          <w:ilvl w:val="0"/>
          <w:numId w:val="25"/>
        </w:numPr>
      </w:pPr>
      <w:r>
        <w:t>Follow-Up Items</w:t>
      </w:r>
    </w:p>
    <w:p w14:paraId="1374BBEB" w14:textId="579BD837" w:rsidR="00F57863" w:rsidRDefault="00F57863" w:rsidP="00F57863">
      <w:pPr>
        <w:pStyle w:val="ListParagraph"/>
        <w:numPr>
          <w:ilvl w:val="1"/>
          <w:numId w:val="25"/>
        </w:numPr>
      </w:pPr>
      <w:r>
        <w:t xml:space="preserve">CARES enrollment </w:t>
      </w:r>
      <w:r w:rsidR="0064663C">
        <w:t>update (Dan)</w:t>
      </w:r>
    </w:p>
    <w:p w14:paraId="4CFEA8A7" w14:textId="3D239A00" w:rsidR="00F57863" w:rsidRDefault="00F57863" w:rsidP="00F57863">
      <w:pPr>
        <w:pStyle w:val="ListParagraph"/>
        <w:numPr>
          <w:ilvl w:val="1"/>
          <w:numId w:val="25"/>
        </w:numPr>
      </w:pPr>
      <w:r>
        <w:t>Timeline for eliminating the CARES discount pause</w:t>
      </w:r>
      <w:r w:rsidR="001E4229">
        <w:t xml:space="preserve"> (Dan)</w:t>
      </w:r>
    </w:p>
    <w:p w14:paraId="105EFFC1" w14:textId="34A38499" w:rsidR="00873CEA" w:rsidRDefault="00873CEA" w:rsidP="00B452C2">
      <w:pPr>
        <w:pStyle w:val="ListParagraph"/>
        <w:numPr>
          <w:ilvl w:val="0"/>
          <w:numId w:val="25"/>
        </w:numPr>
      </w:pPr>
      <w:r>
        <w:t>CBO report presentations (Shannon and agencies)</w:t>
      </w:r>
    </w:p>
    <w:p w14:paraId="7B5F251C" w14:textId="70AB1C47" w:rsidR="00E420AC" w:rsidRDefault="00B452C2" w:rsidP="00E420AC">
      <w:pPr>
        <w:pStyle w:val="ListParagraph"/>
        <w:numPr>
          <w:ilvl w:val="0"/>
          <w:numId w:val="25"/>
        </w:numPr>
      </w:pPr>
      <w:r>
        <w:t>Open Discussion</w:t>
      </w:r>
    </w:p>
    <w:p w14:paraId="71BD4A6B" w14:textId="77777777" w:rsidR="00803274" w:rsidRDefault="00803274" w:rsidP="00803274"/>
    <w:p w14:paraId="6AD64C3C" w14:textId="77777777" w:rsidR="00803274" w:rsidRPr="00803274" w:rsidRDefault="00803274" w:rsidP="00803274">
      <w:r w:rsidRPr="00803274">
        <w:t>Meeting notes:</w:t>
      </w:r>
    </w:p>
    <w:p w14:paraId="7DE01493" w14:textId="045F21DA" w:rsidR="00803274" w:rsidRPr="00803274" w:rsidRDefault="00803274" w:rsidP="00AB2524">
      <w:pPr>
        <w:numPr>
          <w:ilvl w:val="0"/>
          <w:numId w:val="28"/>
        </w:numPr>
      </w:pPr>
      <w:r w:rsidRPr="005539BC">
        <w:rPr>
          <w:b/>
          <w:bCs/>
        </w:rPr>
        <w:t xml:space="preserve">CARES Enrollment Update: </w:t>
      </w:r>
      <w:r w:rsidRPr="00803274">
        <w:t xml:space="preserve">Dan provided an update on CARES program enrollment, noting a slight increase to 16,918 customers </w:t>
      </w:r>
      <w:r w:rsidR="005539BC">
        <w:t xml:space="preserve">as of July 31, 2025, </w:t>
      </w:r>
      <w:r w:rsidRPr="00803274">
        <w:t>and projecting further growth as the heating season approaches.</w:t>
      </w:r>
      <w:r w:rsidR="005539BC">
        <w:t xml:space="preserve"> </w:t>
      </w:r>
      <w:r w:rsidRPr="00803274">
        <w:t>Dan expects enrollment to remain lower for another month or two before increasing with the start of the heating season.</w:t>
      </w:r>
    </w:p>
    <w:p w14:paraId="425B5671" w14:textId="7939E00D" w:rsidR="00803274" w:rsidRDefault="00803274" w:rsidP="00C60A6A">
      <w:pPr>
        <w:numPr>
          <w:ilvl w:val="0"/>
          <w:numId w:val="28"/>
        </w:numPr>
      </w:pPr>
      <w:r w:rsidRPr="005539BC">
        <w:rPr>
          <w:b/>
          <w:bCs/>
        </w:rPr>
        <w:t xml:space="preserve">Timeline for Eliminating CARES Discount Pause: </w:t>
      </w:r>
      <w:r w:rsidRPr="00803274">
        <w:t>Dan updated the group on the request to eliminate the CARES discount pause, explaining that the filing was made last week with the goal of making the change effective October 1st, and that internal IT preparations are underway.</w:t>
      </w:r>
      <w:r w:rsidR="005539BC" w:rsidRPr="005539BC">
        <w:rPr>
          <w:b/>
          <w:bCs/>
        </w:rPr>
        <w:t xml:space="preserve"> </w:t>
      </w:r>
      <w:r w:rsidR="005539BC">
        <w:t>T</w:t>
      </w:r>
      <w:r w:rsidRPr="00803274">
        <w:t xml:space="preserve">he </w:t>
      </w:r>
      <w:r w:rsidR="005539BC">
        <w:t xml:space="preserve">Cascade </w:t>
      </w:r>
      <w:r w:rsidRPr="00803274">
        <w:t>team is awaiting placement on the Commission agenda, likely in September, to enable an October 1st effective date.</w:t>
      </w:r>
      <w:r w:rsidR="005539BC">
        <w:t xml:space="preserve"> </w:t>
      </w:r>
      <w:r w:rsidRPr="00803274">
        <w:t>Andrew</w:t>
      </w:r>
      <w:r w:rsidR="005539BC">
        <w:t xml:space="preserve"> Roberts, WUTC Staff,</w:t>
      </w:r>
      <w:r w:rsidRPr="00803274">
        <w:t xml:space="preserve"> inquired about the docket number for the filing, and Daniel committed to retrieving and sharing it during the meeting.</w:t>
      </w:r>
      <w:r w:rsidR="005539BC">
        <w:t xml:space="preserve"> During the meeting Andrew provided the docket number in chat – 250618 - </w:t>
      </w:r>
      <w:hyperlink r:id="rId9" w:history="1">
        <w:r w:rsidR="005539BC" w:rsidRPr="005539BC">
          <w:rPr>
            <w:rStyle w:val="Hyperlink"/>
          </w:rPr>
          <w:t>https://www.utc.wa.gov/casedocket/2025/250618</w:t>
        </w:r>
      </w:hyperlink>
      <w:r w:rsidR="005539BC">
        <w:t>.</w:t>
      </w:r>
    </w:p>
    <w:p w14:paraId="61C0E4C3" w14:textId="77777777" w:rsidR="00803274" w:rsidRPr="00803274" w:rsidRDefault="00803274" w:rsidP="00803274">
      <w:pPr>
        <w:ind w:left="1440"/>
      </w:pPr>
    </w:p>
    <w:p w14:paraId="4510144D" w14:textId="77777777" w:rsidR="00803274" w:rsidRPr="00803274" w:rsidRDefault="00803274" w:rsidP="00803274">
      <w:pPr>
        <w:numPr>
          <w:ilvl w:val="0"/>
          <w:numId w:val="28"/>
        </w:numPr>
      </w:pPr>
      <w:r w:rsidRPr="00803274">
        <w:rPr>
          <w:b/>
          <w:bCs/>
        </w:rPr>
        <w:t xml:space="preserve">CBO Quarterly Reports and Outreach Activities: </w:t>
      </w:r>
      <w:r w:rsidRPr="00803274">
        <w:t>Shannon facilitated presentations from Kandi, Todd, Marie, and Sylvia on their respective agencies' second quarter CBO outreach activities, covering methods, partnerships, challenges, and demographic reach, with additional discussion on outreach materials and reporting.</w:t>
      </w:r>
    </w:p>
    <w:p w14:paraId="14E7B35B" w14:textId="77777777" w:rsidR="00803274" w:rsidRPr="00803274" w:rsidRDefault="00803274" w:rsidP="00803274">
      <w:pPr>
        <w:numPr>
          <w:ilvl w:val="1"/>
          <w:numId w:val="28"/>
        </w:numPr>
      </w:pPr>
      <w:r w:rsidRPr="00803274">
        <w:rPr>
          <w:b/>
          <w:bCs/>
        </w:rPr>
        <w:t xml:space="preserve">Kitsap Community Resources Outreach: </w:t>
      </w:r>
      <w:r w:rsidRPr="00803274">
        <w:t>Kandi described outreach efforts including distributing CARES flyers at local fairs, stores, post offices, and senior centers, with challenges in obtaining permission to post materials and mixed interest from the community, particularly at tribal events where interest in Cascade Natural Gas was lower than for Puget Sound Energy.</w:t>
      </w:r>
    </w:p>
    <w:p w14:paraId="17D85452" w14:textId="77777777" w:rsidR="00803274" w:rsidRPr="00803274" w:rsidRDefault="00803274" w:rsidP="00803274">
      <w:pPr>
        <w:numPr>
          <w:ilvl w:val="1"/>
          <w:numId w:val="28"/>
        </w:numPr>
      </w:pPr>
      <w:r w:rsidRPr="00803274">
        <w:rPr>
          <w:b/>
          <w:bCs/>
        </w:rPr>
        <w:t xml:space="preserve">Northwest Community Action Center Activities: </w:t>
      </w:r>
      <w:r w:rsidRPr="00803274">
        <w:t>Todd, representing Jose, reported on outreach activities such as migrant outreach, live radio shows, health fairs, and distribution of materials at medical clinics, emphasizing the importance of word-of-mouth in their community.</w:t>
      </w:r>
    </w:p>
    <w:p w14:paraId="61279259" w14:textId="77777777" w:rsidR="00803274" w:rsidRPr="00803274" w:rsidRDefault="00803274" w:rsidP="00803274">
      <w:pPr>
        <w:numPr>
          <w:ilvl w:val="1"/>
          <w:numId w:val="28"/>
        </w:numPr>
      </w:pPr>
      <w:r w:rsidRPr="00803274">
        <w:rPr>
          <w:b/>
          <w:bCs/>
        </w:rPr>
        <w:t xml:space="preserve">Opportunity Council Partnerships and Events: </w:t>
      </w:r>
      <w:r w:rsidRPr="00803274">
        <w:t>Marie, on behalf of Melissa, detailed partnerships with multiple CBOs and participation in various community events, including libraries, food banks, and festivals, with outreach materials provided in multiple languages and targeted mailers sent to neighborhoods.</w:t>
      </w:r>
    </w:p>
    <w:p w14:paraId="462641E3" w14:textId="77777777" w:rsidR="00803274" w:rsidRPr="00803274" w:rsidRDefault="00803274" w:rsidP="00803274">
      <w:pPr>
        <w:numPr>
          <w:ilvl w:val="1"/>
          <w:numId w:val="28"/>
        </w:numPr>
      </w:pPr>
      <w:r w:rsidRPr="00803274">
        <w:rPr>
          <w:b/>
          <w:bCs/>
        </w:rPr>
        <w:t xml:space="preserve">Demographic Reach and Materials: </w:t>
      </w:r>
      <w:r w:rsidRPr="00803274">
        <w:t>Marie highlighted that outreach reached diverse populations, including Russian, Ukrainian, Asian, Latin, and Indigenous communities, with materials provided in several languages and requests for bilingual coloring books for future events.</w:t>
      </w:r>
    </w:p>
    <w:p w14:paraId="43F35029" w14:textId="77777777" w:rsidR="00803274" w:rsidRDefault="00803274" w:rsidP="00803274">
      <w:pPr>
        <w:numPr>
          <w:ilvl w:val="1"/>
          <w:numId w:val="28"/>
        </w:numPr>
      </w:pPr>
      <w:r w:rsidRPr="00803274">
        <w:rPr>
          <w:b/>
          <w:bCs/>
        </w:rPr>
        <w:t xml:space="preserve">Reporting and Material Distribution: </w:t>
      </w:r>
      <w:r w:rsidRPr="00803274">
        <w:t>Shannon and Marie discussed the status of CBO partner reports and clarified the process for distributing new outreach materials, including coloring books, with translation and agency-specific quantities to be coordinated upon Noemi Ortiz's return from vacation.</w:t>
      </w:r>
    </w:p>
    <w:p w14:paraId="372D2B47" w14:textId="0CC7E5A0" w:rsidR="00803274" w:rsidRDefault="00803274" w:rsidP="00803274">
      <w:pPr>
        <w:numPr>
          <w:ilvl w:val="1"/>
          <w:numId w:val="28"/>
        </w:numPr>
      </w:pPr>
      <w:r>
        <w:rPr>
          <w:b/>
          <w:bCs/>
        </w:rPr>
        <w:t>Blue Mountain Action Council</w:t>
      </w:r>
      <w:r w:rsidRPr="00803274">
        <w:rPr>
          <w:b/>
          <w:bCs/>
        </w:rPr>
        <w:t xml:space="preserve">: </w:t>
      </w:r>
      <w:r w:rsidRPr="00803274">
        <w:t>Sylvia summarized their partnership with Commitment to Community, focusing on outreach to low-income, senior, handicapped, and migrant families, distributing flyers and swag, and presenting at financial planning workshops, with some client applications processed as a result.</w:t>
      </w:r>
    </w:p>
    <w:p w14:paraId="7E975F39" w14:textId="77777777" w:rsidR="00803274" w:rsidRPr="00803274" w:rsidRDefault="00803274" w:rsidP="00803274">
      <w:pPr>
        <w:ind w:left="1440"/>
      </w:pPr>
    </w:p>
    <w:p w14:paraId="68570358" w14:textId="77777777" w:rsidR="00803274" w:rsidRPr="00803274" w:rsidRDefault="00803274" w:rsidP="00803274">
      <w:pPr>
        <w:numPr>
          <w:ilvl w:val="0"/>
          <w:numId w:val="28"/>
        </w:numPr>
      </w:pPr>
      <w:r w:rsidRPr="00803274">
        <w:rPr>
          <w:b/>
          <w:bCs/>
        </w:rPr>
        <w:t xml:space="preserve">State LIHEAP Program Clarification: </w:t>
      </w:r>
      <w:r w:rsidRPr="00803274">
        <w:t>Shannon requested clarification on the state LIHEAP program, and Michelle DeBell explained that the program assists with electric bills for qualifying customers, but does not cover natural gas charges.</w:t>
      </w:r>
    </w:p>
    <w:p w14:paraId="6D2827A0" w14:textId="77777777" w:rsidR="00803274" w:rsidRPr="00803274" w:rsidRDefault="00803274" w:rsidP="00803274">
      <w:pPr>
        <w:numPr>
          <w:ilvl w:val="1"/>
          <w:numId w:val="28"/>
        </w:numPr>
      </w:pPr>
      <w:r w:rsidRPr="00803274">
        <w:rPr>
          <w:b/>
          <w:bCs/>
        </w:rPr>
        <w:t xml:space="preserve">Eligibility and Coverage: </w:t>
      </w:r>
      <w:r w:rsidRPr="00803274">
        <w:t>Michelle DeBell clarified that the state LIHEAP program is for customers who use electricity as a heating source, and while customers with both electric and natural gas service may qualify, the program only pays the electric portion of the bill.</w:t>
      </w:r>
    </w:p>
    <w:p w14:paraId="5190EA71" w14:textId="77777777" w:rsidR="00803274" w:rsidRDefault="00803274" w:rsidP="00803274"/>
    <w:p w14:paraId="38850B1A" w14:textId="3527C3D7" w:rsidR="00803274" w:rsidRPr="00803274" w:rsidRDefault="00803274" w:rsidP="00803274">
      <w:r w:rsidRPr="00803274">
        <w:t>Follow-up tasks:</w:t>
      </w:r>
    </w:p>
    <w:p w14:paraId="6307C686" w14:textId="77777777" w:rsidR="00803274" w:rsidRPr="00803274" w:rsidRDefault="00803274" w:rsidP="00803274">
      <w:pPr>
        <w:numPr>
          <w:ilvl w:val="0"/>
          <w:numId w:val="29"/>
        </w:numPr>
      </w:pPr>
      <w:r w:rsidRPr="00803274">
        <w:rPr>
          <w:b/>
          <w:bCs/>
        </w:rPr>
        <w:t xml:space="preserve">CARES Discount Pause Docket Number: </w:t>
      </w:r>
      <w:r w:rsidRPr="00803274">
        <w:t>Provide the docket number for the CARES discount pause request to Andrew after the meeting. (Daniel)</w:t>
      </w:r>
    </w:p>
    <w:p w14:paraId="3C57F9F7" w14:textId="77777777" w:rsidR="00803274" w:rsidRPr="00803274" w:rsidRDefault="00803274" w:rsidP="00803274">
      <w:pPr>
        <w:numPr>
          <w:ilvl w:val="0"/>
          <w:numId w:val="29"/>
        </w:numPr>
      </w:pPr>
      <w:r w:rsidRPr="00803274">
        <w:rPr>
          <w:b/>
          <w:bCs/>
        </w:rPr>
        <w:t xml:space="preserve">CARES Coloring Book Translation and Distribution: </w:t>
      </w:r>
      <w:r w:rsidRPr="00803274">
        <w:t>Follow up with Noemi Ortiz regarding the status of the CARES coloring book translation and coordinate distribution to agencies once available. (Shannon)</w:t>
      </w:r>
    </w:p>
    <w:p w14:paraId="51FFBA46" w14:textId="77777777" w:rsidR="00803274" w:rsidRDefault="00803274" w:rsidP="00803274"/>
    <w:sectPr w:rsidR="00803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1C75DC"/>
    <w:multiLevelType w:val="multilevel"/>
    <w:tmpl w:val="B7B05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1F5EF8"/>
    <w:multiLevelType w:val="multilevel"/>
    <w:tmpl w:val="53C4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88C1321"/>
    <w:multiLevelType w:val="hybridMultilevel"/>
    <w:tmpl w:val="457887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743695"/>
    <w:multiLevelType w:val="hybridMultilevel"/>
    <w:tmpl w:val="0CB4BAD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F1A51A8"/>
    <w:multiLevelType w:val="hybridMultilevel"/>
    <w:tmpl w:val="D31A38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8177554">
    <w:abstractNumId w:val="21"/>
  </w:num>
  <w:num w:numId="2" w16cid:durableId="622033251">
    <w:abstractNumId w:val="12"/>
  </w:num>
  <w:num w:numId="3" w16cid:durableId="39668940">
    <w:abstractNumId w:val="10"/>
  </w:num>
  <w:num w:numId="4" w16cid:durableId="1947274757">
    <w:abstractNumId w:val="24"/>
  </w:num>
  <w:num w:numId="5" w16cid:durableId="359549631">
    <w:abstractNumId w:val="14"/>
  </w:num>
  <w:num w:numId="6" w16cid:durableId="896285323">
    <w:abstractNumId w:val="18"/>
  </w:num>
  <w:num w:numId="7" w16cid:durableId="829102100">
    <w:abstractNumId w:val="20"/>
  </w:num>
  <w:num w:numId="8" w16cid:durableId="45372011">
    <w:abstractNumId w:val="9"/>
  </w:num>
  <w:num w:numId="9" w16cid:durableId="1852261900">
    <w:abstractNumId w:val="7"/>
  </w:num>
  <w:num w:numId="10" w16cid:durableId="1838841327">
    <w:abstractNumId w:val="6"/>
  </w:num>
  <w:num w:numId="11" w16cid:durableId="1707176565">
    <w:abstractNumId w:val="5"/>
  </w:num>
  <w:num w:numId="12" w16cid:durableId="1798837058">
    <w:abstractNumId w:val="4"/>
  </w:num>
  <w:num w:numId="13" w16cid:durableId="1404570837">
    <w:abstractNumId w:val="8"/>
  </w:num>
  <w:num w:numId="14" w16cid:durableId="732773327">
    <w:abstractNumId w:val="3"/>
  </w:num>
  <w:num w:numId="15" w16cid:durableId="237909535">
    <w:abstractNumId w:val="2"/>
  </w:num>
  <w:num w:numId="16" w16cid:durableId="1061059702">
    <w:abstractNumId w:val="1"/>
  </w:num>
  <w:num w:numId="17" w16cid:durableId="451049693">
    <w:abstractNumId w:val="0"/>
  </w:num>
  <w:num w:numId="18" w16cid:durableId="786200193">
    <w:abstractNumId w:val="16"/>
  </w:num>
  <w:num w:numId="19" w16cid:durableId="1967930718">
    <w:abstractNumId w:val="17"/>
  </w:num>
  <w:num w:numId="20" w16cid:durableId="399063954">
    <w:abstractNumId w:val="22"/>
  </w:num>
  <w:num w:numId="21" w16cid:durableId="1837569872">
    <w:abstractNumId w:val="19"/>
  </w:num>
  <w:num w:numId="22" w16cid:durableId="557398870">
    <w:abstractNumId w:val="11"/>
  </w:num>
  <w:num w:numId="23" w16cid:durableId="1668828037">
    <w:abstractNumId w:val="26"/>
  </w:num>
  <w:num w:numId="24" w16cid:durableId="745300207">
    <w:abstractNumId w:val="25"/>
  </w:num>
  <w:num w:numId="25" w16cid:durableId="1138840837">
    <w:abstractNumId w:val="23"/>
  </w:num>
  <w:num w:numId="26" w16cid:durableId="2016881799">
    <w:abstractNumId w:val="27"/>
  </w:num>
  <w:num w:numId="27" w16cid:durableId="3507682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32463057">
    <w:abstractNumId w:val="13"/>
  </w:num>
  <w:num w:numId="29" w16cid:durableId="2634176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BA"/>
    <w:rsid w:val="0002264C"/>
    <w:rsid w:val="000575C8"/>
    <w:rsid w:val="00077AB8"/>
    <w:rsid w:val="000A5998"/>
    <w:rsid w:val="00136DC8"/>
    <w:rsid w:val="001C2942"/>
    <w:rsid w:val="001E4229"/>
    <w:rsid w:val="0027706A"/>
    <w:rsid w:val="002A33A5"/>
    <w:rsid w:val="002D646B"/>
    <w:rsid w:val="0032216B"/>
    <w:rsid w:val="00346D40"/>
    <w:rsid w:val="003C7E8A"/>
    <w:rsid w:val="003F54EC"/>
    <w:rsid w:val="00404154"/>
    <w:rsid w:val="004469E6"/>
    <w:rsid w:val="004A3D05"/>
    <w:rsid w:val="005539BC"/>
    <w:rsid w:val="005A0A7E"/>
    <w:rsid w:val="00645252"/>
    <w:rsid w:val="0064663C"/>
    <w:rsid w:val="00670900"/>
    <w:rsid w:val="006C4F5F"/>
    <w:rsid w:val="006D3D74"/>
    <w:rsid w:val="00782D57"/>
    <w:rsid w:val="00803274"/>
    <w:rsid w:val="00822266"/>
    <w:rsid w:val="0083530A"/>
    <w:rsid w:val="0083569A"/>
    <w:rsid w:val="00855F25"/>
    <w:rsid w:val="00873CEA"/>
    <w:rsid w:val="008773D4"/>
    <w:rsid w:val="008B11D5"/>
    <w:rsid w:val="0092112F"/>
    <w:rsid w:val="0096353A"/>
    <w:rsid w:val="00A5273B"/>
    <w:rsid w:val="00A87C1E"/>
    <w:rsid w:val="00A9204E"/>
    <w:rsid w:val="00A93469"/>
    <w:rsid w:val="00B149A4"/>
    <w:rsid w:val="00B452C2"/>
    <w:rsid w:val="00B778A6"/>
    <w:rsid w:val="00C207B5"/>
    <w:rsid w:val="00C74701"/>
    <w:rsid w:val="00C964E9"/>
    <w:rsid w:val="00CB7909"/>
    <w:rsid w:val="00D914A2"/>
    <w:rsid w:val="00DA7BDF"/>
    <w:rsid w:val="00DD0489"/>
    <w:rsid w:val="00DE25BA"/>
    <w:rsid w:val="00E1509E"/>
    <w:rsid w:val="00E420AC"/>
    <w:rsid w:val="00EA0B9D"/>
    <w:rsid w:val="00F57863"/>
    <w:rsid w:val="00F6495B"/>
    <w:rsid w:val="00F73A8B"/>
    <w:rsid w:val="00FA0327"/>
    <w:rsid w:val="00FA0B59"/>
    <w:rsid w:val="00FC6504"/>
    <w:rsid w:val="00FF3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ED7B5"/>
  <w15:chartTrackingRefBased/>
  <w15:docId w15:val="{C386FFB1-1C7F-46CF-B508-FD02BC47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5B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DE25BA"/>
    <w:pPr>
      <w:ind w:left="720"/>
      <w:contextualSpacing/>
    </w:pPr>
  </w:style>
  <w:style w:type="table" w:styleId="TableGrid">
    <w:name w:val="Table Grid"/>
    <w:basedOn w:val="TableNormal"/>
    <w:uiPriority w:val="59"/>
    <w:rsid w:val="00DE2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39BC"/>
  </w:style>
  <w:style w:type="character" w:styleId="UnresolvedMention">
    <w:name w:val="Unresolved Mention"/>
    <w:basedOn w:val="DefaultParagraphFont"/>
    <w:uiPriority w:val="99"/>
    <w:semiHidden/>
    <w:unhideWhenUsed/>
    <w:rsid w:val="00553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008631">
      <w:bodyDiv w:val="1"/>
      <w:marLeft w:val="0"/>
      <w:marRight w:val="0"/>
      <w:marTop w:val="0"/>
      <w:marBottom w:val="0"/>
      <w:divBdr>
        <w:top w:val="none" w:sz="0" w:space="0" w:color="auto"/>
        <w:left w:val="none" w:sz="0" w:space="0" w:color="auto"/>
        <w:bottom w:val="none" w:sz="0" w:space="0" w:color="auto"/>
        <w:right w:val="none" w:sz="0" w:space="0" w:color="auto"/>
      </w:divBdr>
      <w:divsChild>
        <w:div w:id="965738927">
          <w:marLeft w:val="0"/>
          <w:marRight w:val="0"/>
          <w:marTop w:val="0"/>
          <w:marBottom w:val="0"/>
          <w:divBdr>
            <w:top w:val="none" w:sz="0" w:space="0" w:color="auto"/>
            <w:left w:val="none" w:sz="0" w:space="0" w:color="auto"/>
            <w:bottom w:val="none" w:sz="0" w:space="0" w:color="auto"/>
            <w:right w:val="none" w:sz="0" w:space="0" w:color="auto"/>
          </w:divBdr>
        </w:div>
        <w:div w:id="728648680">
          <w:marLeft w:val="0"/>
          <w:marRight w:val="0"/>
          <w:marTop w:val="0"/>
          <w:marBottom w:val="0"/>
          <w:divBdr>
            <w:top w:val="none" w:sz="0" w:space="0" w:color="auto"/>
            <w:left w:val="none" w:sz="0" w:space="0" w:color="auto"/>
            <w:bottom w:val="none" w:sz="0" w:space="0" w:color="auto"/>
            <w:right w:val="none" w:sz="0" w:space="0" w:color="auto"/>
          </w:divBdr>
        </w:div>
        <w:div w:id="366151307">
          <w:marLeft w:val="0"/>
          <w:marRight w:val="0"/>
          <w:marTop w:val="0"/>
          <w:marBottom w:val="0"/>
          <w:divBdr>
            <w:top w:val="none" w:sz="0" w:space="0" w:color="auto"/>
            <w:left w:val="none" w:sz="0" w:space="0" w:color="auto"/>
            <w:bottom w:val="none" w:sz="0" w:space="0" w:color="auto"/>
            <w:right w:val="none" w:sz="0" w:space="0" w:color="auto"/>
          </w:divBdr>
        </w:div>
      </w:divsChild>
    </w:div>
    <w:div w:id="1928683279">
      <w:bodyDiv w:val="1"/>
      <w:marLeft w:val="0"/>
      <w:marRight w:val="0"/>
      <w:marTop w:val="0"/>
      <w:marBottom w:val="0"/>
      <w:divBdr>
        <w:top w:val="none" w:sz="0" w:space="0" w:color="auto"/>
        <w:left w:val="none" w:sz="0" w:space="0" w:color="auto"/>
        <w:bottom w:val="none" w:sz="0" w:space="0" w:color="auto"/>
        <w:right w:val="none" w:sz="0" w:space="0" w:color="auto"/>
      </w:divBdr>
      <w:divsChild>
        <w:div w:id="630786874">
          <w:marLeft w:val="0"/>
          <w:marRight w:val="0"/>
          <w:marTop w:val="0"/>
          <w:marBottom w:val="0"/>
          <w:divBdr>
            <w:top w:val="none" w:sz="0" w:space="0" w:color="auto"/>
            <w:left w:val="none" w:sz="0" w:space="0" w:color="auto"/>
            <w:bottom w:val="none" w:sz="0" w:space="0" w:color="auto"/>
            <w:right w:val="none" w:sz="0" w:space="0" w:color="auto"/>
          </w:divBdr>
        </w:div>
        <w:div w:id="1240408602">
          <w:marLeft w:val="0"/>
          <w:marRight w:val="0"/>
          <w:marTop w:val="0"/>
          <w:marBottom w:val="0"/>
          <w:divBdr>
            <w:top w:val="none" w:sz="0" w:space="0" w:color="auto"/>
            <w:left w:val="none" w:sz="0" w:space="0" w:color="auto"/>
            <w:bottom w:val="none" w:sz="0" w:space="0" w:color="auto"/>
            <w:right w:val="none" w:sz="0" w:space="0" w:color="auto"/>
          </w:divBdr>
        </w:div>
        <w:div w:id="1363286520">
          <w:marLeft w:val="0"/>
          <w:marRight w:val="0"/>
          <w:marTop w:val="0"/>
          <w:marBottom w:val="0"/>
          <w:divBdr>
            <w:top w:val="none" w:sz="0" w:space="0" w:color="auto"/>
            <w:left w:val="none" w:sz="0" w:space="0" w:color="auto"/>
            <w:bottom w:val="none" w:sz="0" w:space="0" w:color="auto"/>
            <w:right w:val="none" w:sz="0" w:space="0" w:color="auto"/>
          </w:divBdr>
        </w:div>
      </w:divsChild>
    </w:div>
    <w:div w:id="207743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tc.wa.gov/casedocket/2025/2506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stee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TotalTime>
  <Pages>1</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Shannon</dc:creator>
  <cp:keywords/>
  <dc:description/>
  <cp:lastModifiedBy>Steed, Shannon</cp:lastModifiedBy>
  <cp:revision>2</cp:revision>
  <dcterms:created xsi:type="dcterms:W3CDTF">2025-08-22T20:34:00Z</dcterms:created>
  <dcterms:modified xsi:type="dcterms:W3CDTF">2025-08-22T20:34:00Z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SIP_Label_1da8032d-c4fe-48b8-9054-92634c9ea061_Enabled">
    <vt:lpwstr>true</vt:lpwstr>
  </property>
  <property fmtid="{D5CDD505-2E9C-101B-9397-08002B2CF9AE}" pid="9" name="MSIP_Label_1da8032d-c4fe-48b8-9054-92634c9ea061_SetDate">
    <vt:lpwstr>2024-12-10T01:17:58Z</vt:lpwstr>
  </property>
  <property fmtid="{D5CDD505-2E9C-101B-9397-08002B2CF9AE}" pid="10" name="MSIP_Label_1da8032d-c4fe-48b8-9054-92634c9ea061_Method">
    <vt:lpwstr>Standard</vt:lpwstr>
  </property>
  <property fmtid="{D5CDD505-2E9C-101B-9397-08002B2CF9AE}" pid="11" name="MSIP_Label_1da8032d-c4fe-48b8-9054-92634c9ea061_Name">
    <vt:lpwstr>Label 2 - Docs</vt:lpwstr>
  </property>
  <property fmtid="{D5CDD505-2E9C-101B-9397-08002B2CF9AE}" pid="12" name="MSIP_Label_1da8032d-c4fe-48b8-9054-92634c9ea061_SiteId">
    <vt:lpwstr>ce6a0196-6152-4c6a-9d1d-e946c3735743</vt:lpwstr>
  </property>
  <property fmtid="{D5CDD505-2E9C-101B-9397-08002B2CF9AE}" pid="13" name="MSIP_Label_1da8032d-c4fe-48b8-9054-92634c9ea061_ActionId">
    <vt:lpwstr>9a60dcc7-b651-409a-a859-08a818495aeb</vt:lpwstr>
  </property>
  <property fmtid="{D5CDD505-2E9C-101B-9397-08002B2CF9AE}" pid="14" name="MSIP_Label_1da8032d-c4fe-48b8-9054-92634c9ea061_ContentBits">
    <vt:lpwstr>0</vt:lpwstr>
  </property>
</Properties>
</file>