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15DF06" w14:textId="277A8A13" w:rsidR="00B152BC" w:rsidRPr="005E192B" w:rsidRDefault="006F35A8" w:rsidP="005E192B">
      <w:pPr>
        <w:pStyle w:val="Heading1"/>
        <w:rPr>
          <w:rStyle w:val="BookTitle"/>
          <w:color w:val="4F81BD" w:themeColor="accent1"/>
          <w:sz w:val="24"/>
          <w:szCs w:val="24"/>
        </w:rPr>
      </w:pPr>
      <w:r w:rsidRPr="005E192B">
        <w:rPr>
          <w:rStyle w:val="BookTitle"/>
          <w:color w:val="4F81BD" w:themeColor="accent1"/>
          <w:sz w:val="24"/>
          <w:szCs w:val="24"/>
        </w:rPr>
        <w:t>CAG Q</w:t>
      </w:r>
      <w:r w:rsidR="007B1897" w:rsidRPr="005E192B">
        <w:rPr>
          <w:rStyle w:val="BookTitle"/>
          <w:color w:val="4F81BD" w:themeColor="accent1"/>
          <w:sz w:val="24"/>
          <w:szCs w:val="24"/>
        </w:rPr>
        <w:t>2</w:t>
      </w:r>
      <w:r w:rsidRPr="005E192B">
        <w:rPr>
          <w:rStyle w:val="BookTitle"/>
          <w:color w:val="4F81BD" w:themeColor="accent1"/>
          <w:sz w:val="24"/>
          <w:szCs w:val="24"/>
        </w:rPr>
        <w:t xml:space="preserve"> = </w:t>
      </w:r>
      <w:r w:rsidR="006E71D7" w:rsidRPr="005E192B">
        <w:rPr>
          <w:rStyle w:val="BookTitle"/>
          <w:color w:val="4F81BD" w:themeColor="accent1"/>
          <w:sz w:val="24"/>
          <w:szCs w:val="24"/>
        </w:rPr>
        <w:t>9:00 am – 12:00</w:t>
      </w:r>
      <w:r w:rsidR="00697436" w:rsidRPr="005E192B">
        <w:rPr>
          <w:rStyle w:val="BookTitle"/>
          <w:color w:val="4F81BD" w:themeColor="accent1"/>
          <w:sz w:val="24"/>
          <w:szCs w:val="24"/>
        </w:rPr>
        <w:t xml:space="preserve"> </w:t>
      </w:r>
      <w:r w:rsidR="001B468B" w:rsidRPr="005E192B">
        <w:rPr>
          <w:rStyle w:val="BookTitle"/>
          <w:color w:val="4F81BD" w:themeColor="accent1"/>
          <w:sz w:val="24"/>
          <w:szCs w:val="24"/>
        </w:rPr>
        <w:t>via webinar</w:t>
      </w:r>
    </w:p>
    <w:p w14:paraId="14561177" w14:textId="230FCCBA" w:rsidR="001B468B" w:rsidRPr="001B468B" w:rsidRDefault="005E192B" w:rsidP="001B468B">
      <w:pPr>
        <w:spacing w:after="0"/>
        <w:ind w:left="2160"/>
        <w:rPr>
          <w:rFonts w:ascii="Segoe UI" w:hAnsi="Segoe UI" w:cs="Segoe UI"/>
          <w:color w:val="252424"/>
          <w:sz w:val="18"/>
          <w:szCs w:val="18"/>
        </w:rPr>
      </w:pPr>
      <w:bookmarkStart w:id="0" w:name="_Hlk21344860"/>
      <w:r w:rsidRPr="005E192B">
        <w:rPr>
          <w:rStyle w:val="Heading3Char"/>
        </w:rPr>
        <mc:AlternateContent>
          <mc:Choice Requires="wps">
            <w:drawing>
              <wp:anchor distT="0" distB="0" distL="114300" distR="114300" simplePos="0" relativeHeight="251659264" behindDoc="1" locked="0" layoutInCell="1" allowOverlap="1" wp14:anchorId="05C9D141" wp14:editId="2253E8B3">
                <wp:simplePos x="0" y="0"/>
                <wp:positionH relativeFrom="margin">
                  <wp:posOffset>981075</wp:posOffset>
                </wp:positionH>
                <wp:positionV relativeFrom="paragraph">
                  <wp:posOffset>10795</wp:posOffset>
                </wp:positionV>
                <wp:extent cx="3724275" cy="1600200"/>
                <wp:effectExtent l="0" t="0" r="28575" b="19050"/>
                <wp:wrapNone/>
                <wp:docPr id="4" name="Rectangle 4"/>
                <wp:cNvGraphicFramePr/>
                <a:graphic xmlns:a="http://schemas.openxmlformats.org/drawingml/2006/main">
                  <a:graphicData uri="http://schemas.microsoft.com/office/word/2010/wordprocessingShape">
                    <wps:wsp>
                      <wps:cNvSpPr/>
                      <wps:spPr>
                        <a:xfrm>
                          <a:off x="0" y="0"/>
                          <a:ext cx="3724275" cy="1600200"/>
                        </a:xfrm>
                        <a:prstGeom prst="rect">
                          <a:avLst/>
                        </a:prstGeom>
                        <a:solidFill>
                          <a:srgbClr val="E9EFF7"/>
                        </a:solidFill>
                        <a:ln w="9525">
                          <a:prstDash val="sys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FD8E4" id="Rectangle 4" o:spid="_x0000_s1026" style="position:absolute;margin-left:77.25pt;margin-top:.85pt;width:293.25pt;height:126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" fillcolor="#e9eff7" strokecolor="black [3200]">
                <v:stroke dashstyle="3 1"/>
                <w10:wrap anchorx="margin"/>
              </v:rect>
            </w:pict>
          </mc:Fallback>
        </mc:AlternateContent>
      </w:r>
      <w:r w:rsidR="001B468B" w:rsidRPr="001B468B">
        <w:rPr>
          <w:rFonts w:ascii="Segoe UI" w:hAnsi="Segoe UI" w:cs="Segoe UI"/>
          <w:color w:val="252424"/>
          <w:sz w:val="28"/>
          <w:szCs w:val="28"/>
        </w:rPr>
        <w:t>Microsoft Teams meeting</w:t>
      </w:r>
    </w:p>
    <w:p w14:paraId="1B650236" w14:textId="674C7427" w:rsidR="007B1897" w:rsidRDefault="007B1897" w:rsidP="007B1897">
      <w:pPr>
        <w:spacing w:after="0"/>
        <w:ind w:left="2160"/>
        <w:rPr>
          <w:rFonts w:ascii="Segoe UI" w:hAnsi="Segoe UI" w:cs="Segoe UI"/>
          <w:b/>
          <w:bCs/>
          <w:color w:val="252424"/>
        </w:rPr>
      </w:pPr>
      <w:r>
        <w:rPr>
          <w:rFonts w:ascii="Segoe UI" w:hAnsi="Segoe UI" w:cs="Segoe UI"/>
          <w:b/>
          <w:bCs/>
          <w:color w:val="252424"/>
          <w:sz w:val="21"/>
          <w:szCs w:val="21"/>
        </w:rPr>
        <w:t>Join on your computer or mobile app</w:t>
      </w:r>
    </w:p>
    <w:p w14:paraId="0D128060" w14:textId="7B10F94C" w:rsidR="007B1897" w:rsidRDefault="007B1897" w:rsidP="007B1897">
      <w:pPr>
        <w:spacing w:after="0"/>
        <w:ind w:left="2160"/>
        <w:rPr>
          <w:rFonts w:ascii="Segoe UI" w:hAnsi="Segoe UI" w:cs="Segoe UI"/>
          <w:color w:val="252424"/>
        </w:rPr>
      </w:pPr>
      <w:hyperlink r:id="rId8" w:tgtFrame="_blank" w:history="1">
        <w:r>
          <w:rPr>
            <w:rStyle w:val="Hyperlink"/>
            <w:rFonts w:ascii="Segoe UI Semibold" w:hAnsi="Segoe UI Semibold" w:cs="Segoe UI Semibold"/>
            <w:color w:val="6264A7"/>
            <w:sz w:val="21"/>
            <w:szCs w:val="21"/>
          </w:rPr>
          <w:t>Click here to join the meeting</w:t>
        </w:r>
      </w:hyperlink>
    </w:p>
    <w:p w14:paraId="19D3A38A" w14:textId="5538BF7C" w:rsidR="007B1897" w:rsidRDefault="007B1897" w:rsidP="007B1897">
      <w:pPr>
        <w:spacing w:after="0"/>
        <w:ind w:left="2160"/>
        <w:rPr>
          <w:rFonts w:ascii="Segoe UI" w:hAnsi="Segoe UI" w:cs="Segoe UI"/>
          <w:color w:val="252424"/>
        </w:rPr>
      </w:pPr>
      <w:r>
        <w:rPr>
          <w:rFonts w:ascii="Segoe UI" w:hAnsi="Segoe UI" w:cs="Segoe UI"/>
          <w:b/>
          <w:bCs/>
          <w:color w:val="252424"/>
          <w:sz w:val="21"/>
          <w:szCs w:val="21"/>
        </w:rPr>
        <w:t>Or call in (audio only)</w:t>
      </w:r>
    </w:p>
    <w:p w14:paraId="6735B59B" w14:textId="7D16E105" w:rsidR="007B1897" w:rsidRDefault="007B1897" w:rsidP="007B1897">
      <w:pPr>
        <w:spacing w:after="0"/>
        <w:ind w:left="2160"/>
        <w:rPr>
          <w:rFonts w:ascii="Segoe UI" w:hAnsi="Segoe UI" w:cs="Segoe UI"/>
          <w:color w:val="252424"/>
        </w:rPr>
      </w:pPr>
      <w:hyperlink r:id="rId9" w:anchor=" " w:history="1">
        <w:r>
          <w:rPr>
            <w:rStyle w:val="Hyperlink"/>
            <w:rFonts w:ascii="Segoe UI" w:hAnsi="Segoe UI" w:cs="Segoe UI"/>
            <w:color w:val="6264A7"/>
            <w:sz w:val="21"/>
            <w:szCs w:val="21"/>
          </w:rPr>
          <w:t>+1 509-505-0479,,240435873#</w:t>
        </w:r>
      </w:hyperlink>
      <w:r>
        <w:rPr>
          <w:rFonts w:ascii="Segoe UI" w:hAnsi="Segoe UI" w:cs="Segoe UI"/>
          <w:color w:val="252424"/>
        </w:rPr>
        <w:t xml:space="preserve"> </w:t>
      </w:r>
      <w:r>
        <w:rPr>
          <w:rFonts w:ascii="Segoe UI" w:hAnsi="Segoe UI" w:cs="Segoe UI"/>
          <w:color w:val="252424"/>
          <w:sz w:val="21"/>
          <w:szCs w:val="21"/>
        </w:rPr>
        <w:t>  United States, Spokane</w:t>
      </w:r>
    </w:p>
    <w:p w14:paraId="1284D84C" w14:textId="71C36903" w:rsidR="007B1897" w:rsidRDefault="007B1897" w:rsidP="007B1897">
      <w:pPr>
        <w:spacing w:after="0"/>
        <w:ind w:left="2160"/>
        <w:rPr>
          <w:rFonts w:ascii="Segoe UI" w:hAnsi="Segoe UI" w:cs="Segoe UI"/>
          <w:color w:val="252424"/>
        </w:rPr>
      </w:pPr>
      <w:r>
        <w:rPr>
          <w:rFonts w:ascii="Segoe UI" w:hAnsi="Segoe UI" w:cs="Segoe UI"/>
          <w:color w:val="252424"/>
          <w:sz w:val="21"/>
          <w:szCs w:val="21"/>
        </w:rPr>
        <w:t xml:space="preserve">Phone Conference ID: </w:t>
      </w:r>
      <w:r w:rsidRPr="007B1897">
        <w:rPr>
          <w:rFonts w:ascii="Segoe UI" w:hAnsi="Segoe UI" w:cs="Segoe UI"/>
          <w:b/>
          <w:bCs/>
          <w:color w:val="252424"/>
          <w:sz w:val="24"/>
          <w:szCs w:val="24"/>
        </w:rPr>
        <w:t>240 435 873#</w:t>
      </w:r>
    </w:p>
    <w:p w14:paraId="0D6A9F0C" w14:textId="70A07D04" w:rsidR="007B1897" w:rsidRDefault="007B1897" w:rsidP="007B1897">
      <w:pPr>
        <w:spacing w:after="0"/>
        <w:ind w:left="2160"/>
        <w:rPr>
          <w:rFonts w:ascii="Segoe UI" w:hAnsi="Segoe UI" w:cs="Segoe UI"/>
          <w:color w:val="252424"/>
        </w:rPr>
      </w:pPr>
      <w:hyperlink r:id="rId10" w:tgtFrame="_blank" w:history="1">
        <w:r>
          <w:rPr>
            <w:rStyle w:val="Hyperlink"/>
            <w:rFonts w:ascii="Segoe UI" w:hAnsi="Segoe UI" w:cs="Segoe UI"/>
            <w:color w:val="6264A7"/>
            <w:sz w:val="21"/>
            <w:szCs w:val="21"/>
          </w:rPr>
          <w:t>Find a local number</w:t>
        </w:r>
      </w:hyperlink>
      <w:r>
        <w:rPr>
          <w:rFonts w:ascii="Segoe UI" w:hAnsi="Segoe UI" w:cs="Segoe UI"/>
          <w:color w:val="252424"/>
        </w:rPr>
        <w:t xml:space="preserve"> | </w:t>
      </w:r>
      <w:hyperlink r:id="rId11" w:tgtFrame="_blank" w:history="1">
        <w:r>
          <w:rPr>
            <w:rStyle w:val="Hyperlink"/>
            <w:rFonts w:ascii="Segoe UI" w:hAnsi="Segoe UI" w:cs="Segoe UI"/>
            <w:color w:val="6264A7"/>
            <w:sz w:val="21"/>
            <w:szCs w:val="21"/>
          </w:rPr>
          <w:t>Reset PIN</w:t>
        </w:r>
      </w:hyperlink>
    </w:p>
    <w:p w14:paraId="66011103" w14:textId="0CCEBFCD" w:rsidR="009E5D23" w:rsidRDefault="00820FCF" w:rsidP="001B468B">
      <w:pPr>
        <w:pStyle w:val="Heading4"/>
        <w:spacing w:before="0" w:line="240" w:lineRule="auto"/>
        <w:ind w:left="2160"/>
      </w:pPr>
      <w:r>
        <w:tab/>
      </w:r>
      <w:bookmarkEnd w:id="0"/>
    </w:p>
    <w:p w14:paraId="78EEC2BD" w14:textId="5AE880E9" w:rsidR="002C3354" w:rsidRDefault="00E451C3" w:rsidP="001A6D07">
      <w:pPr>
        <w:pStyle w:val="Heading3"/>
        <w:numPr>
          <w:ilvl w:val="0"/>
          <w:numId w:val="20"/>
        </w:numPr>
        <w:rPr>
          <w:i/>
        </w:rPr>
      </w:pPr>
      <w:r>
        <w:rPr>
          <w:u w:val="single"/>
        </w:rPr>
        <w:t xml:space="preserve">Roll Call &amp; </w:t>
      </w:r>
      <w:r w:rsidR="00447977">
        <w:rPr>
          <w:u w:val="single"/>
        </w:rPr>
        <w:t xml:space="preserve">Review </w:t>
      </w:r>
      <w:r w:rsidR="00254095">
        <w:rPr>
          <w:u w:val="single"/>
        </w:rPr>
        <w:t xml:space="preserve">Q1 </w:t>
      </w:r>
      <w:r w:rsidR="00447977">
        <w:rPr>
          <w:u w:val="single"/>
        </w:rPr>
        <w:t xml:space="preserve">meeting </w:t>
      </w:r>
      <w:r>
        <w:rPr>
          <w:u w:val="single"/>
        </w:rPr>
        <w:t>notes</w:t>
      </w:r>
      <w:r w:rsidR="006D5950">
        <w:rPr>
          <w:u w:val="single"/>
        </w:rPr>
        <w:t xml:space="preserve"> </w:t>
      </w:r>
      <w:r w:rsidR="00675798" w:rsidRPr="005A3A46">
        <w:t>-</w:t>
      </w:r>
      <w:r w:rsidR="00675798" w:rsidRPr="00675798">
        <w:rPr>
          <w:i/>
        </w:rPr>
        <w:t xml:space="preserve"> </w:t>
      </w:r>
      <w:r w:rsidR="00675798">
        <w:rPr>
          <w:i/>
        </w:rPr>
        <w:t>led by Monica Cowlishaw</w:t>
      </w:r>
      <w:r w:rsidR="00DE5A0D">
        <w:rPr>
          <w:i/>
        </w:rPr>
        <w:t xml:space="preserve"> </w:t>
      </w:r>
    </w:p>
    <w:p w14:paraId="5F46A2E7" w14:textId="152DDCA4" w:rsidR="007B1897" w:rsidRPr="00E451C3" w:rsidRDefault="007B1897" w:rsidP="001A6D07">
      <w:pPr>
        <w:pStyle w:val="ListParagraph"/>
        <w:numPr>
          <w:ilvl w:val="0"/>
          <w:numId w:val="21"/>
        </w:numPr>
        <w:rPr>
          <w:sz w:val="20"/>
          <w:szCs w:val="20"/>
        </w:rPr>
      </w:pPr>
      <w:hyperlink r:id="rId12" w:history="1">
        <w:r w:rsidRPr="00E451C3">
          <w:rPr>
            <w:rStyle w:val="Hyperlink"/>
            <w:sz w:val="20"/>
            <w:szCs w:val="20"/>
          </w:rPr>
          <w:t>Cascade Natural Gas Conservation Advisory Group Meetings - Cascade Natural Gas Company (cngc.</w:t>
        </w:r>
        <w:r w:rsidRPr="00E451C3">
          <w:rPr>
            <w:rStyle w:val="Hyperlink"/>
            <w:sz w:val="20"/>
            <w:szCs w:val="20"/>
          </w:rPr>
          <w:t>c</w:t>
        </w:r>
        <w:r w:rsidRPr="00E451C3">
          <w:rPr>
            <w:rStyle w:val="Hyperlink"/>
            <w:sz w:val="20"/>
            <w:szCs w:val="20"/>
          </w:rPr>
          <w:t>om)</w:t>
        </w:r>
      </w:hyperlink>
    </w:p>
    <w:p w14:paraId="541BBAFC" w14:textId="77777777" w:rsidR="00254095" w:rsidRDefault="00254095" w:rsidP="001A6D07">
      <w:pPr>
        <w:pStyle w:val="Heading3"/>
        <w:numPr>
          <w:ilvl w:val="0"/>
          <w:numId w:val="20"/>
        </w:numPr>
        <w:rPr>
          <w:rStyle w:val="Heading4Char"/>
          <w:b/>
        </w:rPr>
      </w:pPr>
      <w:r>
        <w:rPr>
          <w:u w:val="single"/>
        </w:rPr>
        <w:t>Low Income Weatherization</w:t>
      </w:r>
      <w:r w:rsidRPr="001500DE">
        <w:rPr>
          <w:i/>
        </w:rPr>
        <w:t xml:space="preserve"> </w:t>
      </w:r>
      <w:r>
        <w:rPr>
          <w:i/>
        </w:rPr>
        <w:t xml:space="preserve">- </w:t>
      </w:r>
      <w:r w:rsidRPr="00F077B3">
        <w:rPr>
          <w:rStyle w:val="Heading4Char"/>
          <w:b/>
        </w:rPr>
        <w:t xml:space="preserve">led by </w:t>
      </w:r>
      <w:r>
        <w:rPr>
          <w:rStyle w:val="Heading4Char"/>
          <w:b/>
        </w:rPr>
        <w:t>Alyn Spector &amp; Sheila McElhinney</w:t>
      </w:r>
    </w:p>
    <w:p w14:paraId="60104F45" w14:textId="721EA932" w:rsidR="00254095" w:rsidRPr="001A6D07" w:rsidRDefault="00254095" w:rsidP="00254095">
      <w:pPr>
        <w:pStyle w:val="ListParagraph"/>
        <w:numPr>
          <w:ilvl w:val="0"/>
          <w:numId w:val="19"/>
        </w:numPr>
        <w:rPr>
          <w:rStyle w:val="Heading4Char"/>
          <w:b w:val="0"/>
        </w:rPr>
      </w:pPr>
      <w:r>
        <w:t xml:space="preserve">Q1 </w:t>
      </w:r>
      <w:r w:rsidRPr="001A6D07">
        <w:t xml:space="preserve">Achievements </w:t>
      </w:r>
      <w:r w:rsidR="00E451C3">
        <w:t xml:space="preserve">– Preliminary </w:t>
      </w:r>
      <w:r w:rsidR="001A6D07" w:rsidRPr="001A6D07">
        <w:t>(</w:t>
      </w:r>
      <w:r w:rsidR="001A6D07" w:rsidRPr="001A6D07">
        <w:rPr>
          <w:i/>
          <w:iCs/>
        </w:rPr>
        <w:t>note these are subject to change</w:t>
      </w:r>
      <w:r w:rsidR="001A6D07" w:rsidRPr="001A6D07">
        <w:t>)</w:t>
      </w:r>
      <w:r w:rsidR="001A6D07">
        <w:rPr>
          <w:rStyle w:val="Heading4Char"/>
        </w:rPr>
        <w:t xml:space="preserve"> </w:t>
      </w:r>
    </w:p>
    <w:tbl>
      <w:tblPr>
        <w:tblW w:w="7131" w:type="dxa"/>
        <w:jc w:val="center"/>
        <w:tblLayout w:type="fixed"/>
        <w:tblCellMar>
          <w:left w:w="0" w:type="dxa"/>
          <w:right w:w="0" w:type="dxa"/>
        </w:tblCellMar>
        <w:tblLook w:val="04A0" w:firstRow="1" w:lastRow="0" w:firstColumn="1" w:lastColumn="0" w:noHBand="0" w:noVBand="1"/>
      </w:tblPr>
      <w:tblGrid>
        <w:gridCol w:w="992"/>
        <w:gridCol w:w="955"/>
        <w:gridCol w:w="1137"/>
        <w:gridCol w:w="1639"/>
        <w:gridCol w:w="938"/>
        <w:gridCol w:w="408"/>
        <w:gridCol w:w="1031"/>
        <w:gridCol w:w="31"/>
      </w:tblGrid>
      <w:tr w:rsidR="00E451C3" w:rsidRPr="001A6D07" w14:paraId="26C451E3" w14:textId="77777777" w:rsidTr="00E451C3">
        <w:trPr>
          <w:trHeight w:val="692"/>
          <w:jc w:val="center"/>
        </w:trPr>
        <w:tc>
          <w:tcPr>
            <w:tcW w:w="992" w:type="dxa"/>
            <w:tcBorders>
              <w:top w:val="single" w:sz="8" w:space="0" w:color="auto"/>
              <w:left w:val="single" w:sz="8" w:space="0" w:color="auto"/>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3EFCADD7" w14:textId="6FBCEFE2" w:rsidR="001A6D07" w:rsidRPr="001A6D07" w:rsidRDefault="001A6D07" w:rsidP="001A6D07">
            <w:pPr>
              <w:spacing w:after="0" w:line="252" w:lineRule="auto"/>
              <w:jc w:val="center"/>
              <w:rPr>
                <w:rFonts w:ascii="Arial" w:hAnsi="Arial" w:cs="Arial"/>
                <w:b/>
                <w:bCs/>
                <w:sz w:val="20"/>
                <w:szCs w:val="20"/>
              </w:rPr>
            </w:pPr>
            <w:r w:rsidRPr="001A6D07">
              <w:rPr>
                <w:rFonts w:ascii="Arial" w:hAnsi="Arial" w:cs="Arial"/>
                <w:b/>
                <w:bCs/>
                <w:sz w:val="20"/>
                <w:szCs w:val="20"/>
              </w:rPr>
              <w:t>Q1</w:t>
            </w:r>
            <w:r w:rsidRPr="001A6D07">
              <w:rPr>
                <w:rFonts w:ascii="Arial" w:hAnsi="Arial" w:cs="Arial"/>
                <w:b/>
                <w:bCs/>
                <w:sz w:val="20"/>
                <w:szCs w:val="20"/>
              </w:rPr>
              <w:br/>
              <w:t>2021</w:t>
            </w:r>
          </w:p>
        </w:tc>
        <w:tc>
          <w:tcPr>
            <w:tcW w:w="955" w:type="dxa"/>
            <w:tcBorders>
              <w:top w:val="single" w:sz="8" w:space="0" w:color="auto"/>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7EA5EF70" w14:textId="77777777" w:rsidR="001A6D07" w:rsidRPr="001A6D07" w:rsidRDefault="001A6D07" w:rsidP="001A6D07">
            <w:pPr>
              <w:spacing w:after="0" w:line="252" w:lineRule="auto"/>
              <w:jc w:val="center"/>
              <w:rPr>
                <w:rFonts w:ascii="Arial" w:hAnsi="Arial" w:cs="Arial"/>
                <w:b/>
                <w:bCs/>
                <w:sz w:val="20"/>
                <w:szCs w:val="20"/>
              </w:rPr>
            </w:pPr>
            <w:r w:rsidRPr="001A6D07">
              <w:rPr>
                <w:rFonts w:ascii="Arial" w:hAnsi="Arial" w:cs="Arial"/>
                <w:b/>
                <w:bCs/>
                <w:color w:val="000000"/>
                <w:sz w:val="20"/>
                <w:szCs w:val="20"/>
              </w:rPr>
              <w:t>Homes Served</w:t>
            </w:r>
          </w:p>
        </w:tc>
        <w:tc>
          <w:tcPr>
            <w:tcW w:w="1137" w:type="dxa"/>
            <w:tcBorders>
              <w:top w:val="single" w:sz="8" w:space="0" w:color="auto"/>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3EDF8FD4" w14:textId="77777777" w:rsidR="001A6D07" w:rsidRPr="001A6D07" w:rsidRDefault="001A6D07" w:rsidP="001A6D07">
            <w:pPr>
              <w:spacing w:after="0" w:line="252" w:lineRule="auto"/>
              <w:jc w:val="center"/>
              <w:rPr>
                <w:rFonts w:ascii="Arial" w:hAnsi="Arial" w:cs="Arial"/>
                <w:b/>
                <w:bCs/>
                <w:sz w:val="20"/>
                <w:szCs w:val="20"/>
              </w:rPr>
            </w:pPr>
            <w:r w:rsidRPr="001A6D07">
              <w:rPr>
                <w:rFonts w:ascii="Arial" w:hAnsi="Arial" w:cs="Arial"/>
                <w:b/>
                <w:bCs/>
                <w:color w:val="000000"/>
                <w:sz w:val="20"/>
                <w:szCs w:val="20"/>
              </w:rPr>
              <w:t>Measures Installed</w:t>
            </w:r>
          </w:p>
        </w:tc>
        <w:tc>
          <w:tcPr>
            <w:tcW w:w="1639" w:type="dxa"/>
            <w:tcBorders>
              <w:top w:val="single" w:sz="8" w:space="0" w:color="auto"/>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219D8079" w14:textId="77777777" w:rsidR="001A6D07" w:rsidRPr="001A6D07" w:rsidRDefault="001A6D07" w:rsidP="001A6D07">
            <w:pPr>
              <w:spacing w:after="0" w:line="252" w:lineRule="auto"/>
              <w:jc w:val="center"/>
              <w:rPr>
                <w:rFonts w:ascii="Arial" w:hAnsi="Arial" w:cs="Arial"/>
                <w:b/>
                <w:bCs/>
                <w:sz w:val="20"/>
                <w:szCs w:val="20"/>
              </w:rPr>
            </w:pPr>
            <w:r w:rsidRPr="001A6D07">
              <w:rPr>
                <w:rFonts w:ascii="Arial" w:hAnsi="Arial" w:cs="Arial"/>
                <w:b/>
                <w:bCs/>
                <w:color w:val="000000"/>
                <w:sz w:val="20"/>
                <w:szCs w:val="20"/>
              </w:rPr>
              <w:t>Average Therms Saved per Household</w:t>
            </w:r>
          </w:p>
        </w:tc>
        <w:tc>
          <w:tcPr>
            <w:tcW w:w="938" w:type="dxa"/>
            <w:tcBorders>
              <w:top w:val="single" w:sz="8" w:space="0" w:color="auto"/>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32566E3C" w14:textId="77777777" w:rsidR="001A6D07" w:rsidRPr="001A6D07" w:rsidRDefault="001A6D07" w:rsidP="001A6D07">
            <w:pPr>
              <w:spacing w:after="0" w:line="252" w:lineRule="auto"/>
              <w:jc w:val="center"/>
              <w:rPr>
                <w:rFonts w:ascii="Arial" w:hAnsi="Arial" w:cs="Arial"/>
                <w:b/>
                <w:bCs/>
                <w:sz w:val="20"/>
                <w:szCs w:val="20"/>
              </w:rPr>
            </w:pPr>
            <w:r w:rsidRPr="001A6D07">
              <w:rPr>
                <w:rFonts w:ascii="Arial" w:hAnsi="Arial" w:cs="Arial"/>
                <w:b/>
                <w:bCs/>
                <w:color w:val="000000"/>
                <w:sz w:val="20"/>
                <w:szCs w:val="20"/>
              </w:rPr>
              <w:t>Total Therms Saved</w:t>
            </w:r>
          </w:p>
        </w:tc>
        <w:tc>
          <w:tcPr>
            <w:tcW w:w="1439" w:type="dxa"/>
            <w:gridSpan w:val="2"/>
            <w:tcBorders>
              <w:top w:val="single" w:sz="8" w:space="0" w:color="auto"/>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38CFCA31" w14:textId="059207DF" w:rsidR="001A6D07" w:rsidRPr="001A6D07" w:rsidRDefault="001A6D07" w:rsidP="001A6D07">
            <w:pPr>
              <w:spacing w:after="0" w:line="252" w:lineRule="auto"/>
              <w:jc w:val="center"/>
              <w:rPr>
                <w:rFonts w:ascii="Arial" w:hAnsi="Arial" w:cs="Arial"/>
                <w:b/>
                <w:bCs/>
                <w:sz w:val="20"/>
                <w:szCs w:val="20"/>
              </w:rPr>
            </w:pPr>
            <w:r w:rsidRPr="001A6D07">
              <w:rPr>
                <w:rFonts w:ascii="Arial" w:hAnsi="Arial" w:cs="Arial"/>
                <w:b/>
                <w:bCs/>
                <w:color w:val="000000"/>
                <w:sz w:val="20"/>
                <w:szCs w:val="20"/>
              </w:rPr>
              <w:t xml:space="preserve">Carbon Offset </w:t>
            </w:r>
            <w:r w:rsidRPr="00E451C3">
              <w:rPr>
                <w:rFonts w:ascii="Arial" w:hAnsi="Arial" w:cs="Arial"/>
                <w:b/>
                <w:bCs/>
                <w:color w:val="000000"/>
                <w:sz w:val="18"/>
                <w:szCs w:val="18"/>
              </w:rPr>
              <w:t xml:space="preserve">(metric tons of CO2e avoided) </w:t>
            </w:r>
          </w:p>
        </w:tc>
        <w:tc>
          <w:tcPr>
            <w:tcW w:w="31" w:type="dxa"/>
            <w:shd w:val="clear" w:color="auto" w:fill="DAEEF3" w:themeFill="accent5" w:themeFillTint="33"/>
            <w:vAlign w:val="center"/>
            <w:hideMark/>
          </w:tcPr>
          <w:p w14:paraId="168C7DD7" w14:textId="77777777" w:rsidR="001A6D07" w:rsidRPr="001A6D07" w:rsidRDefault="001A6D07" w:rsidP="001A6D07">
            <w:pPr>
              <w:spacing w:after="0"/>
              <w:rPr>
                <w:rFonts w:ascii="Calibri" w:hAnsi="Calibri" w:cs="Calibri"/>
                <w:sz w:val="20"/>
                <w:szCs w:val="20"/>
              </w:rPr>
            </w:pPr>
            <w:r w:rsidRPr="001A6D07">
              <w:rPr>
                <w:sz w:val="20"/>
                <w:szCs w:val="20"/>
              </w:rPr>
              <w:t> </w:t>
            </w:r>
          </w:p>
        </w:tc>
      </w:tr>
      <w:tr w:rsidR="00E451C3" w:rsidRPr="001A6D07" w14:paraId="7C9E5D68" w14:textId="77777777" w:rsidTr="00E451C3">
        <w:trPr>
          <w:trHeight w:val="270"/>
          <w:jc w:val="center"/>
        </w:trPr>
        <w:tc>
          <w:tcPr>
            <w:tcW w:w="99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4862E75" w14:textId="4490B956" w:rsidR="001A6D07" w:rsidRPr="001A6D07" w:rsidRDefault="001A6D07" w:rsidP="001A6D07">
            <w:pPr>
              <w:spacing w:after="0" w:line="252" w:lineRule="auto"/>
              <w:jc w:val="center"/>
              <w:rPr>
                <w:rFonts w:ascii="Arial" w:hAnsi="Arial" w:cs="Arial"/>
                <w:color w:val="000000"/>
                <w:sz w:val="20"/>
                <w:szCs w:val="20"/>
              </w:rPr>
            </w:pP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AB112CD" w14:textId="77777777" w:rsidR="001A6D07" w:rsidRPr="001A6D07" w:rsidRDefault="001A6D07" w:rsidP="001A6D07">
            <w:pPr>
              <w:spacing w:after="0" w:line="252" w:lineRule="auto"/>
              <w:jc w:val="center"/>
              <w:rPr>
                <w:rFonts w:ascii="Arial" w:hAnsi="Arial" w:cs="Arial"/>
                <w:color w:val="000000"/>
                <w:sz w:val="20"/>
                <w:szCs w:val="20"/>
              </w:rPr>
            </w:pPr>
            <w:r w:rsidRPr="001A6D07">
              <w:rPr>
                <w:rFonts w:ascii="Arial" w:hAnsi="Arial" w:cs="Arial"/>
                <w:color w:val="000000"/>
                <w:sz w:val="20"/>
                <w:szCs w:val="20"/>
              </w:rPr>
              <w:t>9</w:t>
            </w:r>
          </w:p>
        </w:tc>
        <w:tc>
          <w:tcPr>
            <w:tcW w:w="11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2B0336" w14:textId="77777777" w:rsidR="001A6D07" w:rsidRPr="001A6D07" w:rsidRDefault="001A6D07" w:rsidP="001A6D07">
            <w:pPr>
              <w:spacing w:after="0" w:line="252" w:lineRule="auto"/>
              <w:jc w:val="center"/>
              <w:rPr>
                <w:rFonts w:ascii="Arial" w:hAnsi="Arial" w:cs="Arial"/>
                <w:color w:val="000000"/>
                <w:sz w:val="20"/>
                <w:szCs w:val="20"/>
              </w:rPr>
            </w:pPr>
            <w:r w:rsidRPr="001A6D07">
              <w:rPr>
                <w:rFonts w:ascii="Arial" w:hAnsi="Arial" w:cs="Arial"/>
                <w:color w:val="000000"/>
                <w:sz w:val="20"/>
                <w:szCs w:val="20"/>
              </w:rPr>
              <w:t>34</w:t>
            </w:r>
          </w:p>
        </w:tc>
        <w:tc>
          <w:tcPr>
            <w:tcW w:w="163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27060F" w14:textId="77777777" w:rsidR="001A6D07" w:rsidRPr="001A6D07" w:rsidRDefault="001A6D07" w:rsidP="001A6D07">
            <w:pPr>
              <w:spacing w:after="0" w:line="252" w:lineRule="auto"/>
              <w:jc w:val="center"/>
              <w:rPr>
                <w:rFonts w:ascii="Arial" w:hAnsi="Arial" w:cs="Arial"/>
                <w:color w:val="000000"/>
                <w:sz w:val="20"/>
                <w:szCs w:val="20"/>
              </w:rPr>
            </w:pPr>
            <w:r w:rsidRPr="001A6D07">
              <w:rPr>
                <w:rFonts w:ascii="Arial" w:hAnsi="Arial" w:cs="Arial"/>
                <w:color w:val="000000"/>
                <w:sz w:val="20"/>
                <w:szCs w:val="20"/>
              </w:rPr>
              <w:t>163</w:t>
            </w:r>
          </w:p>
        </w:tc>
        <w:tc>
          <w:tcPr>
            <w:tcW w:w="93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204651" w14:textId="77777777" w:rsidR="001A6D07" w:rsidRPr="001A6D07" w:rsidRDefault="001A6D07" w:rsidP="001A6D07">
            <w:pPr>
              <w:spacing w:after="0" w:line="252" w:lineRule="auto"/>
              <w:jc w:val="center"/>
              <w:rPr>
                <w:rFonts w:ascii="Arial" w:hAnsi="Arial" w:cs="Arial"/>
                <w:color w:val="000000"/>
                <w:sz w:val="20"/>
                <w:szCs w:val="20"/>
              </w:rPr>
            </w:pPr>
            <w:r w:rsidRPr="001A6D07">
              <w:rPr>
                <w:rFonts w:ascii="Arial" w:hAnsi="Arial" w:cs="Arial"/>
                <w:color w:val="000000"/>
                <w:sz w:val="20"/>
                <w:szCs w:val="20"/>
              </w:rPr>
              <w:t>1,471</w:t>
            </w:r>
          </w:p>
        </w:tc>
        <w:tc>
          <w:tcPr>
            <w:tcW w:w="1439"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36553C" w14:textId="77777777" w:rsidR="001A6D07" w:rsidRPr="001A6D07" w:rsidRDefault="001A6D07" w:rsidP="001A6D07">
            <w:pPr>
              <w:spacing w:after="0" w:line="252" w:lineRule="auto"/>
              <w:jc w:val="center"/>
              <w:rPr>
                <w:rFonts w:ascii="Arial" w:hAnsi="Arial" w:cs="Arial"/>
                <w:color w:val="000000"/>
                <w:sz w:val="20"/>
                <w:szCs w:val="20"/>
                <w:highlight w:val="yellow"/>
              </w:rPr>
            </w:pPr>
            <w:r w:rsidRPr="001A6D07">
              <w:rPr>
                <w:rFonts w:ascii="Arial" w:hAnsi="Arial" w:cs="Arial"/>
                <w:sz w:val="20"/>
                <w:szCs w:val="20"/>
              </w:rPr>
              <w:t>8</w:t>
            </w:r>
          </w:p>
        </w:tc>
        <w:tc>
          <w:tcPr>
            <w:tcW w:w="31" w:type="dxa"/>
            <w:tcBorders>
              <w:top w:val="nil"/>
              <w:left w:val="nil"/>
              <w:bottom w:val="single" w:sz="8" w:space="0" w:color="auto"/>
              <w:right w:val="nil"/>
            </w:tcBorders>
            <w:vAlign w:val="center"/>
            <w:hideMark/>
          </w:tcPr>
          <w:p w14:paraId="3770C766" w14:textId="77777777" w:rsidR="001A6D07" w:rsidRPr="001A6D07" w:rsidRDefault="001A6D07" w:rsidP="001A6D07">
            <w:pPr>
              <w:spacing w:after="0"/>
              <w:rPr>
                <w:rFonts w:ascii="Calibri" w:hAnsi="Calibri" w:cs="Calibri"/>
                <w:sz w:val="20"/>
                <w:szCs w:val="20"/>
              </w:rPr>
            </w:pPr>
            <w:r w:rsidRPr="001A6D07">
              <w:rPr>
                <w:sz w:val="20"/>
                <w:szCs w:val="20"/>
              </w:rPr>
              <w:t> </w:t>
            </w:r>
          </w:p>
        </w:tc>
      </w:tr>
      <w:tr w:rsidR="00E451C3" w:rsidRPr="001A6D07" w14:paraId="6D56E841" w14:textId="77777777" w:rsidTr="00E451C3">
        <w:trPr>
          <w:trHeight w:val="238"/>
          <w:jc w:val="center"/>
        </w:trPr>
        <w:tc>
          <w:tcPr>
            <w:tcW w:w="5661" w:type="dxa"/>
            <w:gridSpan w:val="5"/>
            <w:tcBorders>
              <w:top w:val="nil"/>
              <w:left w:val="single" w:sz="8" w:space="0" w:color="auto"/>
              <w:bottom w:val="single" w:sz="8" w:space="0" w:color="auto"/>
              <w:right w:val="single" w:sz="8" w:space="0" w:color="auto"/>
            </w:tcBorders>
            <w:shd w:val="clear" w:color="auto" w:fill="DBDBDB"/>
            <w:tcMar>
              <w:top w:w="0" w:type="dxa"/>
              <w:left w:w="108" w:type="dxa"/>
              <w:bottom w:w="0" w:type="dxa"/>
              <w:right w:w="108" w:type="dxa"/>
            </w:tcMar>
            <w:vAlign w:val="center"/>
            <w:hideMark/>
          </w:tcPr>
          <w:p w14:paraId="62725850" w14:textId="4D51246D" w:rsidR="001A6D07" w:rsidRPr="001A6D07" w:rsidRDefault="001A6D07" w:rsidP="001A6D07">
            <w:pPr>
              <w:spacing w:after="0"/>
              <w:jc w:val="right"/>
              <w:rPr>
                <w:rFonts w:ascii="Avenir LT Std 35 Light" w:hAnsi="Avenir LT Std 35 Light"/>
                <w:i/>
                <w:iCs/>
                <w:sz w:val="20"/>
                <w:szCs w:val="20"/>
              </w:rPr>
            </w:pPr>
            <w:r w:rsidRPr="001A6D07">
              <w:rPr>
                <w:rFonts w:ascii="Avenir LT Std 35 Light" w:hAnsi="Avenir LT Std 35 Light"/>
                <w:i/>
                <w:iCs/>
                <w:color w:val="000000"/>
                <w:sz w:val="20"/>
                <w:szCs w:val="20"/>
              </w:rPr>
              <w:t>Total Costs</w:t>
            </w:r>
          </w:p>
        </w:tc>
        <w:tc>
          <w:tcPr>
            <w:tcW w:w="1439" w:type="dxa"/>
            <w:gridSpan w:val="2"/>
            <w:tcBorders>
              <w:top w:val="nil"/>
              <w:left w:val="nil"/>
              <w:bottom w:val="single" w:sz="8" w:space="0" w:color="auto"/>
              <w:right w:val="single" w:sz="8" w:space="0" w:color="auto"/>
            </w:tcBorders>
            <w:shd w:val="clear" w:color="auto" w:fill="DBDBDB"/>
            <w:tcMar>
              <w:top w:w="0" w:type="dxa"/>
              <w:left w:w="108" w:type="dxa"/>
              <w:bottom w:w="0" w:type="dxa"/>
              <w:right w:w="108" w:type="dxa"/>
            </w:tcMar>
            <w:vAlign w:val="center"/>
            <w:hideMark/>
          </w:tcPr>
          <w:p w14:paraId="57B2E6E1" w14:textId="77777777" w:rsidR="001A6D07" w:rsidRPr="001A6D07" w:rsidRDefault="001A6D07" w:rsidP="001A6D07">
            <w:pPr>
              <w:spacing w:after="0"/>
              <w:jc w:val="center"/>
              <w:rPr>
                <w:rFonts w:ascii="Avenir LT Std 35 Light" w:hAnsi="Avenir LT Std 35 Light"/>
                <w:b/>
                <w:bCs/>
                <w:sz w:val="20"/>
                <w:szCs w:val="20"/>
              </w:rPr>
            </w:pPr>
            <w:r w:rsidRPr="001A6D07">
              <w:rPr>
                <w:rFonts w:ascii="Avenir LT Std 35 Light" w:hAnsi="Avenir LT Std 35 Light"/>
                <w:b/>
                <w:bCs/>
                <w:color w:val="000000"/>
                <w:sz w:val="20"/>
                <w:szCs w:val="20"/>
              </w:rPr>
              <w:t>Low-Income</w:t>
            </w:r>
          </w:p>
        </w:tc>
        <w:tc>
          <w:tcPr>
            <w:tcW w:w="31" w:type="dxa"/>
            <w:vAlign w:val="center"/>
            <w:hideMark/>
          </w:tcPr>
          <w:p w14:paraId="05501C36" w14:textId="77777777" w:rsidR="001A6D07" w:rsidRPr="001A6D07" w:rsidRDefault="001A6D07" w:rsidP="001A6D07">
            <w:pPr>
              <w:spacing w:after="0"/>
              <w:rPr>
                <w:rFonts w:ascii="Calibri" w:hAnsi="Calibri"/>
                <w:sz w:val="20"/>
                <w:szCs w:val="20"/>
              </w:rPr>
            </w:pPr>
            <w:r w:rsidRPr="001A6D07">
              <w:rPr>
                <w:sz w:val="20"/>
                <w:szCs w:val="20"/>
              </w:rPr>
              <w:t> </w:t>
            </w:r>
          </w:p>
        </w:tc>
      </w:tr>
      <w:tr w:rsidR="00E451C3" w:rsidRPr="001A6D07" w14:paraId="70581E61" w14:textId="77777777" w:rsidTr="00E451C3">
        <w:trPr>
          <w:trHeight w:val="238"/>
          <w:jc w:val="center"/>
        </w:trPr>
        <w:tc>
          <w:tcPr>
            <w:tcW w:w="5661" w:type="dxa"/>
            <w:gridSpan w:val="5"/>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A18FEFF" w14:textId="77777777" w:rsidR="001A6D07" w:rsidRPr="001A6D07" w:rsidRDefault="001A6D07" w:rsidP="001A6D07">
            <w:pPr>
              <w:spacing w:after="0"/>
              <w:jc w:val="right"/>
              <w:rPr>
                <w:rFonts w:ascii="Avenir LT Std 35 Light" w:hAnsi="Avenir LT Std 35 Light"/>
                <w:b/>
                <w:bCs/>
                <w:sz w:val="20"/>
                <w:szCs w:val="20"/>
              </w:rPr>
            </w:pPr>
            <w:r w:rsidRPr="001A6D07">
              <w:rPr>
                <w:rFonts w:ascii="Avenir LT Std 35 Light" w:hAnsi="Avenir LT Std 35 Light"/>
                <w:b/>
                <w:bCs/>
                <w:sz w:val="20"/>
                <w:szCs w:val="20"/>
              </w:rPr>
              <w:t xml:space="preserve">Total WIP Incentives </w:t>
            </w:r>
          </w:p>
        </w:tc>
        <w:tc>
          <w:tcPr>
            <w:tcW w:w="1439"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FB605D" w14:textId="77777777" w:rsidR="001A6D07" w:rsidRPr="001A6D07" w:rsidRDefault="001A6D07" w:rsidP="001A6D07">
            <w:pPr>
              <w:spacing w:after="0"/>
              <w:jc w:val="center"/>
              <w:rPr>
                <w:rFonts w:ascii="Avenir LT Std 35 Light" w:hAnsi="Avenir LT Std 35 Light"/>
                <w:sz w:val="20"/>
                <w:szCs w:val="20"/>
              </w:rPr>
            </w:pPr>
            <w:r w:rsidRPr="001A6D07">
              <w:rPr>
                <w:rFonts w:ascii="Avenir LT Std 35 Light" w:hAnsi="Avenir LT Std 35 Light"/>
                <w:sz w:val="20"/>
                <w:szCs w:val="20"/>
              </w:rPr>
              <w:t>$28,165</w:t>
            </w:r>
          </w:p>
        </w:tc>
        <w:tc>
          <w:tcPr>
            <w:tcW w:w="31" w:type="dxa"/>
            <w:vAlign w:val="center"/>
            <w:hideMark/>
          </w:tcPr>
          <w:p w14:paraId="25ACC6EC" w14:textId="77777777" w:rsidR="001A6D07" w:rsidRPr="001A6D07" w:rsidRDefault="001A6D07" w:rsidP="001A6D07">
            <w:pPr>
              <w:spacing w:after="0"/>
              <w:rPr>
                <w:rFonts w:ascii="Calibri" w:hAnsi="Calibri"/>
                <w:sz w:val="20"/>
                <w:szCs w:val="20"/>
              </w:rPr>
            </w:pPr>
            <w:r w:rsidRPr="001A6D07">
              <w:rPr>
                <w:sz w:val="20"/>
                <w:szCs w:val="20"/>
              </w:rPr>
              <w:t> </w:t>
            </w:r>
          </w:p>
        </w:tc>
      </w:tr>
      <w:tr w:rsidR="00E451C3" w:rsidRPr="001A6D07" w14:paraId="738810EF" w14:textId="77777777" w:rsidTr="00E451C3">
        <w:trPr>
          <w:trHeight w:val="238"/>
          <w:jc w:val="center"/>
        </w:trPr>
        <w:tc>
          <w:tcPr>
            <w:tcW w:w="5661" w:type="dxa"/>
            <w:gridSpan w:val="5"/>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F92567C" w14:textId="77777777" w:rsidR="001A6D07" w:rsidRPr="001A6D07" w:rsidRDefault="001A6D07" w:rsidP="001A6D07">
            <w:pPr>
              <w:spacing w:after="0"/>
              <w:jc w:val="right"/>
              <w:rPr>
                <w:rFonts w:ascii="Avenir LT Std 35 Light" w:hAnsi="Avenir LT Std 35 Light"/>
                <w:b/>
                <w:bCs/>
                <w:sz w:val="20"/>
                <w:szCs w:val="20"/>
              </w:rPr>
            </w:pPr>
            <w:r w:rsidRPr="001A6D07">
              <w:rPr>
                <w:rFonts w:ascii="Avenir LT Std 35 Light" w:hAnsi="Avenir LT Std 35 Light"/>
                <w:b/>
                <w:bCs/>
                <w:sz w:val="20"/>
                <w:szCs w:val="20"/>
              </w:rPr>
              <w:t xml:space="preserve">Total EWIP Incentives </w:t>
            </w:r>
          </w:p>
        </w:tc>
        <w:tc>
          <w:tcPr>
            <w:tcW w:w="1439"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0CDEF1" w14:textId="77777777" w:rsidR="001A6D07" w:rsidRPr="001A6D07" w:rsidRDefault="001A6D07" w:rsidP="001A6D07">
            <w:pPr>
              <w:spacing w:after="0"/>
              <w:jc w:val="center"/>
              <w:rPr>
                <w:rFonts w:ascii="Avenir LT Std 35 Light" w:hAnsi="Avenir LT Std 35 Light"/>
                <w:color w:val="FF0000"/>
                <w:sz w:val="20"/>
                <w:szCs w:val="20"/>
              </w:rPr>
            </w:pPr>
            <w:r w:rsidRPr="001A6D07">
              <w:rPr>
                <w:rFonts w:ascii="Avenir LT Std 35 Light" w:hAnsi="Avenir LT Std 35 Light"/>
                <w:sz w:val="20"/>
                <w:szCs w:val="20"/>
              </w:rPr>
              <w:t>$93,982</w:t>
            </w:r>
          </w:p>
        </w:tc>
        <w:tc>
          <w:tcPr>
            <w:tcW w:w="31" w:type="dxa"/>
            <w:vAlign w:val="center"/>
            <w:hideMark/>
          </w:tcPr>
          <w:p w14:paraId="04D17BD3" w14:textId="77777777" w:rsidR="001A6D07" w:rsidRPr="001A6D07" w:rsidRDefault="001A6D07" w:rsidP="001A6D07">
            <w:pPr>
              <w:spacing w:after="0"/>
              <w:rPr>
                <w:rFonts w:ascii="Calibri" w:hAnsi="Calibri"/>
                <w:sz w:val="20"/>
                <w:szCs w:val="20"/>
              </w:rPr>
            </w:pPr>
            <w:r w:rsidRPr="001A6D07">
              <w:rPr>
                <w:sz w:val="20"/>
                <w:szCs w:val="20"/>
              </w:rPr>
              <w:t> </w:t>
            </w:r>
          </w:p>
        </w:tc>
      </w:tr>
      <w:tr w:rsidR="00E451C3" w:rsidRPr="001A6D07" w14:paraId="5C496E63" w14:textId="77777777" w:rsidTr="00E451C3">
        <w:trPr>
          <w:trHeight w:val="238"/>
          <w:jc w:val="center"/>
        </w:trPr>
        <w:tc>
          <w:tcPr>
            <w:tcW w:w="5661" w:type="dxa"/>
            <w:gridSpan w:val="5"/>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5FEA55F" w14:textId="77777777" w:rsidR="001A6D07" w:rsidRPr="001A6D07" w:rsidRDefault="001A6D07" w:rsidP="001A6D07">
            <w:pPr>
              <w:spacing w:after="0"/>
              <w:jc w:val="right"/>
              <w:rPr>
                <w:rFonts w:ascii="Avenir LT Std 35 Light" w:hAnsi="Avenir LT Std 35 Light"/>
                <w:b/>
                <w:bCs/>
                <w:sz w:val="20"/>
                <w:szCs w:val="20"/>
              </w:rPr>
            </w:pPr>
            <w:r w:rsidRPr="001A6D07">
              <w:rPr>
                <w:rFonts w:ascii="Avenir LT Std 35 Light" w:hAnsi="Avenir LT Std 35 Light"/>
                <w:b/>
                <w:bCs/>
                <w:sz w:val="20"/>
                <w:szCs w:val="20"/>
              </w:rPr>
              <w:t>15% Project Coordination</w:t>
            </w:r>
          </w:p>
        </w:tc>
        <w:tc>
          <w:tcPr>
            <w:tcW w:w="1439"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14:paraId="551B13CA" w14:textId="77777777" w:rsidR="001A6D07" w:rsidRPr="001A6D07" w:rsidRDefault="001A6D07" w:rsidP="001A6D07">
            <w:pPr>
              <w:spacing w:after="0"/>
              <w:jc w:val="center"/>
              <w:rPr>
                <w:rFonts w:ascii="Avenir LT Std 35 Light" w:hAnsi="Avenir LT Std 35 Light"/>
                <w:sz w:val="20"/>
                <w:szCs w:val="20"/>
              </w:rPr>
            </w:pPr>
            <w:r w:rsidRPr="001A6D07">
              <w:rPr>
                <w:rFonts w:ascii="Avenir LT Std 35 Light" w:hAnsi="Avenir LT Std 35 Light"/>
                <w:sz w:val="20"/>
                <w:szCs w:val="20"/>
              </w:rPr>
              <w:t>$18,322</w:t>
            </w:r>
          </w:p>
        </w:tc>
        <w:tc>
          <w:tcPr>
            <w:tcW w:w="31" w:type="dxa"/>
            <w:vAlign w:val="center"/>
            <w:hideMark/>
          </w:tcPr>
          <w:p w14:paraId="0AD303E7" w14:textId="77777777" w:rsidR="001A6D07" w:rsidRPr="001A6D07" w:rsidRDefault="001A6D07" w:rsidP="001A6D07">
            <w:pPr>
              <w:spacing w:after="0"/>
              <w:rPr>
                <w:rFonts w:ascii="Calibri" w:hAnsi="Calibri"/>
                <w:sz w:val="20"/>
                <w:szCs w:val="20"/>
              </w:rPr>
            </w:pPr>
            <w:r w:rsidRPr="001A6D07">
              <w:rPr>
                <w:sz w:val="20"/>
                <w:szCs w:val="20"/>
              </w:rPr>
              <w:t> </w:t>
            </w:r>
          </w:p>
        </w:tc>
      </w:tr>
      <w:tr w:rsidR="00E451C3" w:rsidRPr="001A6D07" w14:paraId="4AA679AD" w14:textId="77777777" w:rsidTr="00E451C3">
        <w:trPr>
          <w:trHeight w:val="238"/>
          <w:jc w:val="center"/>
        </w:trPr>
        <w:tc>
          <w:tcPr>
            <w:tcW w:w="5661" w:type="dxa"/>
            <w:gridSpan w:val="5"/>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81CB205" w14:textId="77777777" w:rsidR="001A6D07" w:rsidRPr="001A6D07" w:rsidRDefault="001A6D07" w:rsidP="001A6D07">
            <w:pPr>
              <w:spacing w:after="0"/>
              <w:jc w:val="right"/>
              <w:rPr>
                <w:rFonts w:ascii="Avenir LT Std 35 Light" w:hAnsi="Avenir LT Std 35 Light"/>
                <w:b/>
                <w:bCs/>
                <w:sz w:val="20"/>
                <w:szCs w:val="20"/>
              </w:rPr>
            </w:pPr>
            <w:r w:rsidRPr="001A6D07">
              <w:rPr>
                <w:rFonts w:ascii="Avenir LT Std 35 Light" w:hAnsi="Avenir LT Std 35 Light"/>
                <w:b/>
                <w:bCs/>
                <w:sz w:val="20"/>
                <w:szCs w:val="20"/>
              </w:rPr>
              <w:t>10% Indirect Rate</w:t>
            </w:r>
          </w:p>
        </w:tc>
        <w:tc>
          <w:tcPr>
            <w:tcW w:w="1439"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14:paraId="4FE62C6D" w14:textId="77777777" w:rsidR="001A6D07" w:rsidRPr="001A6D07" w:rsidRDefault="001A6D07" w:rsidP="001A6D07">
            <w:pPr>
              <w:spacing w:after="0"/>
              <w:jc w:val="center"/>
              <w:rPr>
                <w:rFonts w:ascii="Avenir LT Std 35 Light" w:hAnsi="Avenir LT Std 35 Light"/>
                <w:sz w:val="20"/>
                <w:szCs w:val="20"/>
              </w:rPr>
            </w:pPr>
            <w:r w:rsidRPr="001A6D07">
              <w:rPr>
                <w:rFonts w:ascii="Avenir LT Std 35 Light" w:hAnsi="Avenir LT Std 35 Light"/>
                <w:sz w:val="20"/>
                <w:szCs w:val="20"/>
              </w:rPr>
              <w:t>$12,214</w:t>
            </w:r>
          </w:p>
        </w:tc>
        <w:tc>
          <w:tcPr>
            <w:tcW w:w="31" w:type="dxa"/>
            <w:vAlign w:val="center"/>
            <w:hideMark/>
          </w:tcPr>
          <w:p w14:paraId="4C433DCB" w14:textId="77777777" w:rsidR="001A6D07" w:rsidRPr="001A6D07" w:rsidRDefault="001A6D07" w:rsidP="001A6D07">
            <w:pPr>
              <w:spacing w:after="0"/>
              <w:rPr>
                <w:rFonts w:ascii="Calibri" w:hAnsi="Calibri"/>
                <w:sz w:val="20"/>
                <w:szCs w:val="20"/>
              </w:rPr>
            </w:pPr>
            <w:r w:rsidRPr="001A6D07">
              <w:rPr>
                <w:sz w:val="20"/>
                <w:szCs w:val="20"/>
              </w:rPr>
              <w:t> </w:t>
            </w:r>
          </w:p>
        </w:tc>
      </w:tr>
      <w:tr w:rsidR="00E451C3" w:rsidRPr="001A6D07" w14:paraId="0B7253A6" w14:textId="77777777" w:rsidTr="00E451C3">
        <w:trPr>
          <w:trHeight w:val="238"/>
          <w:jc w:val="center"/>
        </w:trPr>
        <w:tc>
          <w:tcPr>
            <w:tcW w:w="5661" w:type="dxa"/>
            <w:gridSpan w:val="5"/>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F96AF05" w14:textId="77777777" w:rsidR="001A6D07" w:rsidRPr="001A6D07" w:rsidRDefault="001A6D07" w:rsidP="001A6D07">
            <w:pPr>
              <w:spacing w:after="0"/>
              <w:jc w:val="right"/>
              <w:rPr>
                <w:rFonts w:ascii="Avenir LT Std 35 Light" w:hAnsi="Avenir LT Std 35 Light"/>
                <w:b/>
                <w:bCs/>
                <w:sz w:val="20"/>
                <w:szCs w:val="20"/>
              </w:rPr>
            </w:pPr>
            <w:r w:rsidRPr="001A6D07">
              <w:rPr>
                <w:rFonts w:ascii="Avenir LT Std 35 Light" w:hAnsi="Avenir LT Std 35 Light"/>
                <w:b/>
                <w:bCs/>
                <w:sz w:val="20"/>
                <w:szCs w:val="20"/>
              </w:rPr>
              <w:t>Total Project Costs with Agency Admin</w:t>
            </w:r>
          </w:p>
        </w:tc>
        <w:tc>
          <w:tcPr>
            <w:tcW w:w="1439"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C55678" w14:textId="77777777" w:rsidR="001A6D07" w:rsidRPr="001A6D07" w:rsidRDefault="001A6D07" w:rsidP="001A6D07">
            <w:pPr>
              <w:spacing w:after="0"/>
              <w:jc w:val="center"/>
              <w:rPr>
                <w:rFonts w:ascii="Avenir LT Std 35 Light" w:hAnsi="Avenir LT Std 35 Light"/>
                <w:color w:val="FF0000"/>
                <w:sz w:val="20"/>
                <w:szCs w:val="20"/>
              </w:rPr>
            </w:pPr>
            <w:r w:rsidRPr="001A6D07">
              <w:rPr>
                <w:rFonts w:ascii="Avenir LT Std 35 Light" w:hAnsi="Avenir LT Std 35 Light"/>
                <w:sz w:val="20"/>
                <w:szCs w:val="20"/>
              </w:rPr>
              <w:t>$152,684</w:t>
            </w:r>
          </w:p>
        </w:tc>
        <w:tc>
          <w:tcPr>
            <w:tcW w:w="31" w:type="dxa"/>
            <w:tcBorders>
              <w:top w:val="nil"/>
              <w:left w:val="nil"/>
              <w:bottom w:val="single" w:sz="8" w:space="0" w:color="auto"/>
              <w:right w:val="nil"/>
            </w:tcBorders>
            <w:vAlign w:val="center"/>
            <w:hideMark/>
          </w:tcPr>
          <w:p w14:paraId="6792F29D" w14:textId="77777777" w:rsidR="001A6D07" w:rsidRPr="001A6D07" w:rsidRDefault="001A6D07" w:rsidP="001A6D07">
            <w:pPr>
              <w:spacing w:after="0"/>
              <w:rPr>
                <w:rFonts w:ascii="Calibri" w:hAnsi="Calibri"/>
                <w:sz w:val="20"/>
                <w:szCs w:val="20"/>
              </w:rPr>
            </w:pPr>
            <w:r w:rsidRPr="001A6D07">
              <w:rPr>
                <w:sz w:val="20"/>
                <w:szCs w:val="20"/>
              </w:rPr>
              <w:t> </w:t>
            </w:r>
          </w:p>
        </w:tc>
      </w:tr>
      <w:tr w:rsidR="00E451C3" w:rsidRPr="001A6D07" w14:paraId="7BDDEB9B" w14:textId="77777777" w:rsidTr="00E451C3">
        <w:trPr>
          <w:trHeight w:val="12"/>
          <w:jc w:val="center"/>
        </w:trPr>
        <w:tc>
          <w:tcPr>
            <w:tcW w:w="992" w:type="dxa"/>
            <w:tcBorders>
              <w:top w:val="single" w:sz="8" w:space="0" w:color="auto"/>
              <w:left w:val="nil"/>
              <w:bottom w:val="nil"/>
              <w:right w:val="nil"/>
            </w:tcBorders>
            <w:vAlign w:val="center"/>
            <w:hideMark/>
          </w:tcPr>
          <w:p w14:paraId="3BFFACEB" w14:textId="77777777" w:rsidR="001A6D07" w:rsidRPr="001A6D07" w:rsidRDefault="001A6D07" w:rsidP="001A6D07">
            <w:pPr>
              <w:spacing w:after="0"/>
              <w:rPr>
                <w:sz w:val="20"/>
                <w:szCs w:val="20"/>
              </w:rPr>
            </w:pPr>
          </w:p>
        </w:tc>
        <w:tc>
          <w:tcPr>
            <w:tcW w:w="955" w:type="dxa"/>
            <w:tcBorders>
              <w:top w:val="single" w:sz="8" w:space="0" w:color="auto"/>
              <w:left w:val="nil"/>
              <w:bottom w:val="nil"/>
              <w:right w:val="nil"/>
            </w:tcBorders>
            <w:vAlign w:val="center"/>
            <w:hideMark/>
          </w:tcPr>
          <w:p w14:paraId="5A999441" w14:textId="77777777" w:rsidR="001A6D07" w:rsidRPr="001A6D07" w:rsidRDefault="001A6D07" w:rsidP="001A6D07">
            <w:pPr>
              <w:spacing w:after="0"/>
              <w:rPr>
                <w:rFonts w:ascii="Times New Roman" w:eastAsia="Times New Roman" w:hAnsi="Times New Roman" w:cs="Times New Roman"/>
                <w:sz w:val="20"/>
                <w:szCs w:val="20"/>
              </w:rPr>
            </w:pPr>
          </w:p>
        </w:tc>
        <w:tc>
          <w:tcPr>
            <w:tcW w:w="1137" w:type="dxa"/>
            <w:tcBorders>
              <w:top w:val="single" w:sz="8" w:space="0" w:color="auto"/>
              <w:left w:val="nil"/>
              <w:bottom w:val="nil"/>
              <w:right w:val="nil"/>
            </w:tcBorders>
            <w:vAlign w:val="center"/>
            <w:hideMark/>
          </w:tcPr>
          <w:p w14:paraId="50D95622" w14:textId="77777777" w:rsidR="001A6D07" w:rsidRPr="001A6D07" w:rsidRDefault="001A6D07" w:rsidP="001A6D07">
            <w:pPr>
              <w:spacing w:after="0"/>
              <w:rPr>
                <w:rFonts w:ascii="Times New Roman" w:eastAsia="Times New Roman" w:hAnsi="Times New Roman" w:cs="Times New Roman"/>
                <w:sz w:val="20"/>
                <w:szCs w:val="20"/>
              </w:rPr>
            </w:pPr>
          </w:p>
        </w:tc>
        <w:tc>
          <w:tcPr>
            <w:tcW w:w="1639" w:type="dxa"/>
            <w:tcBorders>
              <w:top w:val="single" w:sz="8" w:space="0" w:color="auto"/>
              <w:left w:val="nil"/>
              <w:bottom w:val="nil"/>
              <w:right w:val="nil"/>
            </w:tcBorders>
            <w:vAlign w:val="center"/>
            <w:hideMark/>
          </w:tcPr>
          <w:p w14:paraId="3CCA2BFF" w14:textId="77777777" w:rsidR="001A6D07" w:rsidRPr="001A6D07" w:rsidRDefault="001A6D07" w:rsidP="001A6D07">
            <w:pPr>
              <w:spacing w:after="0"/>
              <w:rPr>
                <w:rFonts w:ascii="Times New Roman" w:eastAsia="Times New Roman" w:hAnsi="Times New Roman" w:cs="Times New Roman"/>
                <w:sz w:val="20"/>
                <w:szCs w:val="20"/>
              </w:rPr>
            </w:pPr>
          </w:p>
        </w:tc>
        <w:tc>
          <w:tcPr>
            <w:tcW w:w="938" w:type="dxa"/>
            <w:tcBorders>
              <w:top w:val="single" w:sz="8" w:space="0" w:color="auto"/>
              <w:left w:val="nil"/>
              <w:bottom w:val="nil"/>
              <w:right w:val="nil"/>
            </w:tcBorders>
            <w:vAlign w:val="center"/>
            <w:hideMark/>
          </w:tcPr>
          <w:p w14:paraId="3306A0B7" w14:textId="77777777" w:rsidR="001A6D07" w:rsidRPr="001A6D07" w:rsidRDefault="001A6D07" w:rsidP="001A6D07">
            <w:pPr>
              <w:spacing w:after="0"/>
              <w:rPr>
                <w:rFonts w:ascii="Times New Roman" w:eastAsia="Times New Roman" w:hAnsi="Times New Roman" w:cs="Times New Roman"/>
                <w:sz w:val="20"/>
                <w:szCs w:val="20"/>
              </w:rPr>
            </w:pPr>
          </w:p>
        </w:tc>
        <w:tc>
          <w:tcPr>
            <w:tcW w:w="408" w:type="dxa"/>
            <w:tcBorders>
              <w:top w:val="single" w:sz="8" w:space="0" w:color="auto"/>
              <w:left w:val="nil"/>
              <w:bottom w:val="nil"/>
              <w:right w:val="nil"/>
            </w:tcBorders>
            <w:vAlign w:val="center"/>
            <w:hideMark/>
          </w:tcPr>
          <w:p w14:paraId="20506679" w14:textId="77777777" w:rsidR="001A6D07" w:rsidRPr="001A6D07" w:rsidRDefault="001A6D07" w:rsidP="001A6D07">
            <w:pPr>
              <w:spacing w:after="0"/>
              <w:rPr>
                <w:rFonts w:ascii="Times New Roman" w:eastAsia="Times New Roman" w:hAnsi="Times New Roman" w:cs="Times New Roman"/>
                <w:sz w:val="20"/>
                <w:szCs w:val="20"/>
              </w:rPr>
            </w:pPr>
          </w:p>
        </w:tc>
        <w:tc>
          <w:tcPr>
            <w:tcW w:w="1031" w:type="dxa"/>
            <w:tcBorders>
              <w:top w:val="single" w:sz="8" w:space="0" w:color="auto"/>
              <w:left w:val="nil"/>
              <w:bottom w:val="nil"/>
              <w:right w:val="nil"/>
            </w:tcBorders>
            <w:vAlign w:val="center"/>
            <w:hideMark/>
          </w:tcPr>
          <w:p w14:paraId="4777E934" w14:textId="77777777" w:rsidR="001A6D07" w:rsidRPr="001A6D07" w:rsidRDefault="001A6D07" w:rsidP="001A6D07">
            <w:pPr>
              <w:spacing w:after="0"/>
              <w:rPr>
                <w:rFonts w:ascii="Times New Roman" w:eastAsia="Times New Roman" w:hAnsi="Times New Roman" w:cs="Times New Roman"/>
                <w:sz w:val="20"/>
                <w:szCs w:val="20"/>
              </w:rPr>
            </w:pPr>
          </w:p>
        </w:tc>
        <w:tc>
          <w:tcPr>
            <w:tcW w:w="31" w:type="dxa"/>
            <w:tcBorders>
              <w:top w:val="single" w:sz="8" w:space="0" w:color="auto"/>
              <w:left w:val="nil"/>
              <w:bottom w:val="nil"/>
              <w:right w:val="nil"/>
            </w:tcBorders>
            <w:vAlign w:val="center"/>
            <w:hideMark/>
          </w:tcPr>
          <w:p w14:paraId="5E3A4109" w14:textId="2900801A" w:rsidR="001A6D07" w:rsidRPr="001A6D07" w:rsidRDefault="001A6D07" w:rsidP="001A6D07">
            <w:pPr>
              <w:spacing w:after="0"/>
              <w:rPr>
                <w:rFonts w:ascii="Times New Roman" w:eastAsia="Times New Roman" w:hAnsi="Times New Roman" w:cs="Times New Roman"/>
                <w:sz w:val="20"/>
                <w:szCs w:val="20"/>
              </w:rPr>
            </w:pPr>
          </w:p>
        </w:tc>
      </w:tr>
    </w:tbl>
    <w:p w14:paraId="3BC6A5BA" w14:textId="41C65528" w:rsidR="00254095" w:rsidRPr="001A6D07" w:rsidRDefault="00E451C3" w:rsidP="001A6D07">
      <w:pPr>
        <w:pStyle w:val="ListParagraph"/>
        <w:numPr>
          <w:ilvl w:val="0"/>
          <w:numId w:val="19"/>
        </w:numPr>
      </w:pPr>
      <w:r>
        <w:t xml:space="preserve">2020 </w:t>
      </w:r>
      <w:r w:rsidR="001A6D07">
        <w:t xml:space="preserve">Annual Report– Preliminary </w:t>
      </w:r>
      <w:r w:rsidR="001A6D07" w:rsidRPr="001A6D07">
        <w:rPr>
          <w:i/>
          <w:iCs/>
        </w:rPr>
        <w:t>(DRAFT Annual Report will be provided to the CAG April 30)</w:t>
      </w:r>
    </w:p>
    <w:tbl>
      <w:tblPr>
        <w:tblW w:w="7220" w:type="dxa"/>
        <w:jc w:val="center"/>
        <w:tblCellMar>
          <w:left w:w="0" w:type="dxa"/>
          <w:right w:w="0" w:type="dxa"/>
        </w:tblCellMar>
        <w:tblLook w:val="04A0" w:firstRow="1" w:lastRow="0" w:firstColumn="1" w:lastColumn="0" w:noHBand="0" w:noVBand="1"/>
      </w:tblPr>
      <w:tblGrid>
        <w:gridCol w:w="731"/>
        <w:gridCol w:w="930"/>
        <w:gridCol w:w="1198"/>
        <w:gridCol w:w="1762"/>
        <w:gridCol w:w="990"/>
        <w:gridCol w:w="346"/>
        <w:gridCol w:w="1205"/>
        <w:gridCol w:w="58"/>
      </w:tblGrid>
      <w:tr w:rsidR="00E451C3" w:rsidRPr="001A6D07" w14:paraId="1C9E7A8A" w14:textId="77777777" w:rsidTr="00E451C3">
        <w:trPr>
          <w:trHeight w:val="123"/>
          <w:jc w:val="center"/>
        </w:trPr>
        <w:tc>
          <w:tcPr>
            <w:tcW w:w="731" w:type="dxa"/>
            <w:tcBorders>
              <w:top w:val="single" w:sz="8" w:space="0" w:color="auto"/>
              <w:left w:val="single" w:sz="8" w:space="0" w:color="auto"/>
              <w:bottom w:val="single" w:sz="8" w:space="0" w:color="auto"/>
              <w:right w:val="single" w:sz="8" w:space="0" w:color="auto"/>
            </w:tcBorders>
            <w:shd w:val="clear" w:color="auto" w:fill="D6E3BC"/>
            <w:tcMar>
              <w:top w:w="0" w:type="dxa"/>
              <w:left w:w="108" w:type="dxa"/>
              <w:bottom w:w="0" w:type="dxa"/>
              <w:right w:w="108" w:type="dxa"/>
            </w:tcMar>
            <w:vAlign w:val="center"/>
            <w:hideMark/>
          </w:tcPr>
          <w:p w14:paraId="6055534F" w14:textId="77777777" w:rsidR="001A6D07" w:rsidRPr="001A6D07" w:rsidRDefault="001A6D07" w:rsidP="001A6D07">
            <w:pPr>
              <w:spacing w:after="0" w:line="252" w:lineRule="auto"/>
              <w:jc w:val="center"/>
              <w:rPr>
                <w:rFonts w:ascii="Arial" w:hAnsi="Arial" w:cs="Arial"/>
                <w:b/>
                <w:bCs/>
                <w:color w:val="000000"/>
                <w:sz w:val="20"/>
                <w:szCs w:val="20"/>
              </w:rPr>
            </w:pPr>
            <w:r w:rsidRPr="001A6D07">
              <w:rPr>
                <w:rFonts w:ascii="Arial" w:hAnsi="Arial" w:cs="Arial"/>
                <w:b/>
                <w:bCs/>
                <w:color w:val="000000"/>
                <w:sz w:val="20"/>
                <w:szCs w:val="20"/>
              </w:rPr>
              <w:t>Year</w:t>
            </w:r>
          </w:p>
        </w:tc>
        <w:tc>
          <w:tcPr>
            <w:tcW w:w="930" w:type="dxa"/>
            <w:tcBorders>
              <w:top w:val="single" w:sz="8" w:space="0" w:color="auto"/>
              <w:left w:val="nil"/>
              <w:bottom w:val="single" w:sz="8" w:space="0" w:color="auto"/>
              <w:right w:val="single" w:sz="8" w:space="0" w:color="auto"/>
            </w:tcBorders>
            <w:shd w:val="clear" w:color="auto" w:fill="D6E3BC"/>
            <w:tcMar>
              <w:top w:w="0" w:type="dxa"/>
              <w:left w:w="108" w:type="dxa"/>
              <w:bottom w:w="0" w:type="dxa"/>
              <w:right w:w="108" w:type="dxa"/>
            </w:tcMar>
            <w:vAlign w:val="center"/>
            <w:hideMark/>
          </w:tcPr>
          <w:p w14:paraId="4469F968" w14:textId="77777777" w:rsidR="001A6D07" w:rsidRPr="001A6D07" w:rsidRDefault="001A6D07" w:rsidP="001A6D07">
            <w:pPr>
              <w:spacing w:after="0" w:line="252" w:lineRule="auto"/>
              <w:jc w:val="center"/>
              <w:rPr>
                <w:rFonts w:ascii="Arial" w:hAnsi="Arial" w:cs="Arial"/>
                <w:b/>
                <w:bCs/>
                <w:color w:val="000000"/>
                <w:sz w:val="20"/>
                <w:szCs w:val="20"/>
              </w:rPr>
            </w:pPr>
            <w:r w:rsidRPr="001A6D07">
              <w:rPr>
                <w:rFonts w:ascii="Arial" w:hAnsi="Arial" w:cs="Arial"/>
                <w:b/>
                <w:bCs/>
                <w:color w:val="000000"/>
                <w:sz w:val="20"/>
                <w:szCs w:val="20"/>
              </w:rPr>
              <w:t>Homes Served</w:t>
            </w:r>
          </w:p>
        </w:tc>
        <w:tc>
          <w:tcPr>
            <w:tcW w:w="1198" w:type="dxa"/>
            <w:tcBorders>
              <w:top w:val="single" w:sz="8" w:space="0" w:color="auto"/>
              <w:left w:val="nil"/>
              <w:bottom w:val="single" w:sz="8" w:space="0" w:color="auto"/>
              <w:right w:val="single" w:sz="8" w:space="0" w:color="auto"/>
            </w:tcBorders>
            <w:shd w:val="clear" w:color="auto" w:fill="D6E3BC"/>
            <w:tcMar>
              <w:top w:w="0" w:type="dxa"/>
              <w:left w:w="108" w:type="dxa"/>
              <w:bottom w:w="0" w:type="dxa"/>
              <w:right w:w="108" w:type="dxa"/>
            </w:tcMar>
            <w:vAlign w:val="center"/>
            <w:hideMark/>
          </w:tcPr>
          <w:p w14:paraId="3091E05A" w14:textId="77777777" w:rsidR="001A6D07" w:rsidRPr="001A6D07" w:rsidRDefault="001A6D07" w:rsidP="001A6D07">
            <w:pPr>
              <w:spacing w:after="0" w:line="252" w:lineRule="auto"/>
              <w:jc w:val="center"/>
              <w:rPr>
                <w:rFonts w:ascii="Arial" w:hAnsi="Arial" w:cs="Arial"/>
                <w:b/>
                <w:bCs/>
                <w:color w:val="000000"/>
                <w:sz w:val="20"/>
                <w:szCs w:val="20"/>
              </w:rPr>
            </w:pPr>
            <w:r w:rsidRPr="001A6D07">
              <w:rPr>
                <w:rFonts w:ascii="Arial" w:hAnsi="Arial" w:cs="Arial"/>
                <w:b/>
                <w:bCs/>
                <w:color w:val="000000"/>
                <w:sz w:val="20"/>
                <w:szCs w:val="20"/>
              </w:rPr>
              <w:t>Measures Installed</w:t>
            </w:r>
          </w:p>
        </w:tc>
        <w:tc>
          <w:tcPr>
            <w:tcW w:w="1762" w:type="dxa"/>
            <w:tcBorders>
              <w:top w:val="single" w:sz="8" w:space="0" w:color="auto"/>
              <w:left w:val="nil"/>
              <w:bottom w:val="single" w:sz="8" w:space="0" w:color="auto"/>
              <w:right w:val="single" w:sz="8" w:space="0" w:color="auto"/>
            </w:tcBorders>
            <w:shd w:val="clear" w:color="auto" w:fill="D6E3BC"/>
            <w:tcMar>
              <w:top w:w="0" w:type="dxa"/>
              <w:left w:w="108" w:type="dxa"/>
              <w:bottom w:w="0" w:type="dxa"/>
              <w:right w:w="108" w:type="dxa"/>
            </w:tcMar>
            <w:vAlign w:val="center"/>
            <w:hideMark/>
          </w:tcPr>
          <w:p w14:paraId="6758A0CE" w14:textId="77777777" w:rsidR="001A6D07" w:rsidRPr="001A6D07" w:rsidRDefault="001A6D07" w:rsidP="001A6D07">
            <w:pPr>
              <w:spacing w:after="0" w:line="252" w:lineRule="auto"/>
              <w:jc w:val="center"/>
              <w:rPr>
                <w:rFonts w:ascii="Arial" w:hAnsi="Arial" w:cs="Arial"/>
                <w:b/>
                <w:bCs/>
                <w:color w:val="000000"/>
                <w:sz w:val="20"/>
                <w:szCs w:val="20"/>
              </w:rPr>
            </w:pPr>
            <w:r w:rsidRPr="001A6D07">
              <w:rPr>
                <w:rFonts w:ascii="Arial" w:hAnsi="Arial" w:cs="Arial"/>
                <w:b/>
                <w:bCs/>
                <w:color w:val="000000"/>
                <w:sz w:val="20"/>
                <w:szCs w:val="20"/>
              </w:rPr>
              <w:t>Average Therms Saved per Household</w:t>
            </w:r>
          </w:p>
        </w:tc>
        <w:tc>
          <w:tcPr>
            <w:tcW w:w="988" w:type="dxa"/>
            <w:tcBorders>
              <w:top w:val="single" w:sz="8" w:space="0" w:color="auto"/>
              <w:left w:val="nil"/>
              <w:bottom w:val="single" w:sz="8" w:space="0" w:color="auto"/>
              <w:right w:val="single" w:sz="8" w:space="0" w:color="auto"/>
            </w:tcBorders>
            <w:shd w:val="clear" w:color="auto" w:fill="D6E3BC"/>
            <w:tcMar>
              <w:top w:w="0" w:type="dxa"/>
              <w:left w:w="108" w:type="dxa"/>
              <w:bottom w:w="0" w:type="dxa"/>
              <w:right w:w="108" w:type="dxa"/>
            </w:tcMar>
            <w:vAlign w:val="center"/>
            <w:hideMark/>
          </w:tcPr>
          <w:p w14:paraId="4E1DDCF2" w14:textId="77777777" w:rsidR="001A6D07" w:rsidRPr="001A6D07" w:rsidRDefault="001A6D07" w:rsidP="001A6D07">
            <w:pPr>
              <w:spacing w:after="0" w:line="252" w:lineRule="auto"/>
              <w:jc w:val="center"/>
              <w:rPr>
                <w:rFonts w:ascii="Arial" w:hAnsi="Arial" w:cs="Arial"/>
                <w:b/>
                <w:bCs/>
                <w:color w:val="000000"/>
                <w:sz w:val="20"/>
                <w:szCs w:val="20"/>
              </w:rPr>
            </w:pPr>
            <w:r w:rsidRPr="001A6D07">
              <w:rPr>
                <w:rFonts w:ascii="Arial" w:hAnsi="Arial" w:cs="Arial"/>
                <w:b/>
                <w:bCs/>
                <w:color w:val="000000"/>
                <w:sz w:val="20"/>
                <w:szCs w:val="20"/>
              </w:rPr>
              <w:t>Total Therms Saved</w:t>
            </w:r>
          </w:p>
        </w:tc>
        <w:tc>
          <w:tcPr>
            <w:tcW w:w="1551" w:type="dxa"/>
            <w:gridSpan w:val="2"/>
            <w:tcBorders>
              <w:top w:val="single" w:sz="8" w:space="0" w:color="auto"/>
              <w:left w:val="nil"/>
              <w:bottom w:val="single" w:sz="8" w:space="0" w:color="auto"/>
              <w:right w:val="single" w:sz="8" w:space="0" w:color="auto"/>
            </w:tcBorders>
            <w:shd w:val="clear" w:color="auto" w:fill="D8E4BC"/>
            <w:tcMar>
              <w:top w:w="0" w:type="dxa"/>
              <w:left w:w="108" w:type="dxa"/>
              <w:bottom w:w="0" w:type="dxa"/>
              <w:right w:w="108" w:type="dxa"/>
            </w:tcMar>
            <w:vAlign w:val="center"/>
            <w:hideMark/>
          </w:tcPr>
          <w:p w14:paraId="6AB20F25" w14:textId="3775E817" w:rsidR="001A6D07" w:rsidRPr="001A6D07" w:rsidRDefault="001A6D07" w:rsidP="001A6D07">
            <w:pPr>
              <w:spacing w:after="0" w:line="252" w:lineRule="auto"/>
              <w:jc w:val="center"/>
              <w:rPr>
                <w:rFonts w:ascii="Arial" w:hAnsi="Arial" w:cs="Arial"/>
                <w:b/>
                <w:bCs/>
                <w:color w:val="000000"/>
                <w:sz w:val="20"/>
                <w:szCs w:val="20"/>
              </w:rPr>
            </w:pPr>
            <w:r w:rsidRPr="001A6D07">
              <w:rPr>
                <w:rFonts w:ascii="Arial" w:hAnsi="Arial" w:cs="Arial"/>
                <w:b/>
                <w:bCs/>
                <w:color w:val="000000"/>
                <w:sz w:val="20"/>
                <w:szCs w:val="20"/>
              </w:rPr>
              <w:t xml:space="preserve">Carbon Offset </w:t>
            </w:r>
            <w:r w:rsidRPr="00E451C3">
              <w:rPr>
                <w:rFonts w:ascii="Arial" w:hAnsi="Arial" w:cs="Arial"/>
                <w:b/>
                <w:bCs/>
                <w:color w:val="000000"/>
                <w:sz w:val="18"/>
                <w:szCs w:val="18"/>
              </w:rPr>
              <w:t xml:space="preserve">(metric tons of CO2e avoided) </w:t>
            </w:r>
          </w:p>
        </w:tc>
        <w:tc>
          <w:tcPr>
            <w:tcW w:w="58" w:type="dxa"/>
            <w:vAlign w:val="center"/>
            <w:hideMark/>
          </w:tcPr>
          <w:p w14:paraId="4BFBF979" w14:textId="77777777" w:rsidR="001A6D07" w:rsidRPr="001A6D07" w:rsidRDefault="001A6D07" w:rsidP="001A6D07">
            <w:pPr>
              <w:spacing w:after="0"/>
              <w:rPr>
                <w:rFonts w:ascii="Calibri" w:hAnsi="Calibri" w:cs="Calibri"/>
                <w:sz w:val="20"/>
                <w:szCs w:val="20"/>
              </w:rPr>
            </w:pPr>
            <w:r w:rsidRPr="001A6D07">
              <w:rPr>
                <w:sz w:val="20"/>
                <w:szCs w:val="20"/>
              </w:rPr>
              <w:t> </w:t>
            </w:r>
          </w:p>
        </w:tc>
      </w:tr>
      <w:tr w:rsidR="00E451C3" w:rsidRPr="001A6D07" w14:paraId="7439150B" w14:textId="77777777" w:rsidTr="00E451C3">
        <w:trPr>
          <w:trHeight w:val="284"/>
          <w:jc w:val="center"/>
        </w:trPr>
        <w:tc>
          <w:tcPr>
            <w:tcW w:w="73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6CFC2F9" w14:textId="77777777" w:rsidR="001A6D07" w:rsidRPr="001A6D07" w:rsidRDefault="001A6D07" w:rsidP="001A6D07">
            <w:pPr>
              <w:spacing w:after="0" w:line="252" w:lineRule="auto"/>
              <w:jc w:val="center"/>
              <w:rPr>
                <w:rFonts w:ascii="Arial" w:hAnsi="Arial" w:cs="Arial"/>
                <w:color w:val="000000"/>
                <w:sz w:val="20"/>
                <w:szCs w:val="20"/>
              </w:rPr>
            </w:pPr>
            <w:r w:rsidRPr="001A6D07">
              <w:rPr>
                <w:rFonts w:ascii="Arial" w:hAnsi="Arial" w:cs="Arial"/>
                <w:color w:val="000000"/>
                <w:sz w:val="20"/>
                <w:szCs w:val="20"/>
              </w:rPr>
              <w:t>2020</w:t>
            </w:r>
          </w:p>
        </w:tc>
        <w:tc>
          <w:tcPr>
            <w:tcW w:w="9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777ED4" w14:textId="77777777" w:rsidR="001A6D07" w:rsidRPr="001A6D07" w:rsidRDefault="001A6D07" w:rsidP="001A6D07">
            <w:pPr>
              <w:spacing w:after="0" w:line="252" w:lineRule="auto"/>
              <w:jc w:val="center"/>
              <w:rPr>
                <w:rFonts w:ascii="Arial" w:hAnsi="Arial" w:cs="Arial"/>
                <w:color w:val="000000"/>
                <w:sz w:val="20"/>
                <w:szCs w:val="20"/>
              </w:rPr>
            </w:pPr>
            <w:r w:rsidRPr="001A6D07">
              <w:rPr>
                <w:rFonts w:ascii="Arial" w:hAnsi="Arial" w:cs="Arial"/>
                <w:sz w:val="20"/>
                <w:szCs w:val="20"/>
              </w:rPr>
              <w:t>43</w:t>
            </w:r>
          </w:p>
        </w:tc>
        <w:tc>
          <w:tcPr>
            <w:tcW w:w="119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24989F1" w14:textId="77777777" w:rsidR="001A6D07" w:rsidRPr="001A6D07" w:rsidRDefault="001A6D07" w:rsidP="001A6D07">
            <w:pPr>
              <w:spacing w:after="0" w:line="252" w:lineRule="auto"/>
              <w:jc w:val="center"/>
              <w:rPr>
                <w:rFonts w:ascii="Arial" w:hAnsi="Arial" w:cs="Arial"/>
                <w:color w:val="000000"/>
                <w:sz w:val="20"/>
                <w:szCs w:val="20"/>
              </w:rPr>
            </w:pPr>
            <w:r w:rsidRPr="001A6D07">
              <w:rPr>
                <w:rFonts w:ascii="Arial" w:hAnsi="Arial" w:cs="Arial"/>
                <w:color w:val="000000"/>
                <w:sz w:val="20"/>
                <w:szCs w:val="20"/>
              </w:rPr>
              <w:t>169</w:t>
            </w:r>
          </w:p>
        </w:tc>
        <w:tc>
          <w:tcPr>
            <w:tcW w:w="176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A3DD75D" w14:textId="77777777" w:rsidR="001A6D07" w:rsidRPr="001A6D07" w:rsidRDefault="001A6D07" w:rsidP="001A6D07">
            <w:pPr>
              <w:spacing w:after="0" w:line="252" w:lineRule="auto"/>
              <w:jc w:val="center"/>
              <w:rPr>
                <w:rFonts w:ascii="Calibri" w:hAnsi="Calibri" w:cs="Calibri"/>
                <w:color w:val="FF0000"/>
                <w:sz w:val="20"/>
                <w:szCs w:val="20"/>
              </w:rPr>
            </w:pPr>
            <w:r w:rsidRPr="001A6D07">
              <w:rPr>
                <w:rFonts w:ascii="Arial" w:hAnsi="Arial" w:cs="Arial"/>
                <w:sz w:val="20"/>
                <w:szCs w:val="20"/>
              </w:rPr>
              <w:t>214</w:t>
            </w:r>
          </w:p>
        </w:tc>
        <w:tc>
          <w:tcPr>
            <w:tcW w:w="98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7BEB71" w14:textId="77777777" w:rsidR="001A6D07" w:rsidRPr="001A6D07" w:rsidRDefault="001A6D07" w:rsidP="001A6D07">
            <w:pPr>
              <w:spacing w:after="0" w:line="252" w:lineRule="auto"/>
              <w:jc w:val="center"/>
              <w:rPr>
                <w:rFonts w:ascii="Arial" w:hAnsi="Arial" w:cs="Arial"/>
                <w:color w:val="000000"/>
                <w:sz w:val="20"/>
                <w:szCs w:val="20"/>
              </w:rPr>
            </w:pPr>
            <w:r w:rsidRPr="001A6D07">
              <w:rPr>
                <w:rFonts w:ascii="Arial" w:hAnsi="Arial" w:cs="Arial"/>
                <w:color w:val="000000"/>
                <w:sz w:val="20"/>
                <w:szCs w:val="20"/>
              </w:rPr>
              <w:t>9,21</w:t>
            </w:r>
            <w:r w:rsidRPr="001A6D07">
              <w:rPr>
                <w:rFonts w:ascii="Arial" w:hAnsi="Arial" w:cs="Arial"/>
                <w:sz w:val="20"/>
                <w:szCs w:val="20"/>
              </w:rPr>
              <w:t>3</w:t>
            </w:r>
          </w:p>
        </w:tc>
        <w:tc>
          <w:tcPr>
            <w:tcW w:w="1551"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14:paraId="3A043407" w14:textId="77777777" w:rsidR="001A6D07" w:rsidRPr="001A6D07" w:rsidRDefault="001A6D07" w:rsidP="001A6D07">
            <w:pPr>
              <w:spacing w:after="0" w:line="252" w:lineRule="auto"/>
              <w:jc w:val="center"/>
              <w:rPr>
                <w:rFonts w:ascii="Arial" w:hAnsi="Arial" w:cs="Arial"/>
                <w:color w:val="000000"/>
                <w:sz w:val="20"/>
                <w:szCs w:val="20"/>
                <w:highlight w:val="yellow"/>
              </w:rPr>
            </w:pPr>
            <w:r w:rsidRPr="001A6D07">
              <w:rPr>
                <w:rFonts w:ascii="Arial" w:hAnsi="Arial" w:cs="Arial"/>
                <w:sz w:val="20"/>
                <w:szCs w:val="20"/>
              </w:rPr>
              <w:t>50</w:t>
            </w:r>
          </w:p>
        </w:tc>
        <w:tc>
          <w:tcPr>
            <w:tcW w:w="58" w:type="dxa"/>
            <w:tcBorders>
              <w:top w:val="nil"/>
              <w:left w:val="nil"/>
              <w:bottom w:val="single" w:sz="8" w:space="0" w:color="auto"/>
              <w:right w:val="nil"/>
            </w:tcBorders>
            <w:vAlign w:val="center"/>
            <w:hideMark/>
          </w:tcPr>
          <w:p w14:paraId="4E4CD2A0" w14:textId="77777777" w:rsidR="001A6D07" w:rsidRPr="001A6D07" w:rsidRDefault="001A6D07" w:rsidP="001A6D07">
            <w:pPr>
              <w:spacing w:after="0"/>
              <w:rPr>
                <w:rFonts w:ascii="Calibri" w:hAnsi="Calibri" w:cs="Calibri"/>
                <w:sz w:val="20"/>
                <w:szCs w:val="20"/>
              </w:rPr>
            </w:pPr>
            <w:r w:rsidRPr="001A6D07">
              <w:rPr>
                <w:sz w:val="20"/>
                <w:szCs w:val="20"/>
              </w:rPr>
              <w:t> </w:t>
            </w:r>
          </w:p>
        </w:tc>
      </w:tr>
      <w:tr w:rsidR="00E451C3" w:rsidRPr="001A6D07" w14:paraId="39E67355" w14:textId="77777777" w:rsidTr="00E451C3">
        <w:trPr>
          <w:trHeight w:val="251"/>
          <w:jc w:val="center"/>
        </w:trPr>
        <w:tc>
          <w:tcPr>
            <w:tcW w:w="5611" w:type="dxa"/>
            <w:gridSpan w:val="5"/>
            <w:tcBorders>
              <w:top w:val="nil"/>
              <w:left w:val="single" w:sz="8" w:space="0" w:color="auto"/>
              <w:bottom w:val="single" w:sz="8" w:space="0" w:color="auto"/>
              <w:right w:val="single" w:sz="8" w:space="0" w:color="auto"/>
            </w:tcBorders>
            <w:shd w:val="clear" w:color="auto" w:fill="DBDBDB"/>
            <w:tcMar>
              <w:top w:w="0" w:type="dxa"/>
              <w:left w:w="108" w:type="dxa"/>
              <w:bottom w:w="0" w:type="dxa"/>
              <w:right w:w="108" w:type="dxa"/>
            </w:tcMar>
            <w:vAlign w:val="center"/>
            <w:hideMark/>
          </w:tcPr>
          <w:p w14:paraId="4CE94DCB" w14:textId="0BC9CC57" w:rsidR="001A6D07" w:rsidRPr="001A6D07" w:rsidRDefault="001A6D07" w:rsidP="001A6D07">
            <w:pPr>
              <w:spacing w:after="0"/>
              <w:jc w:val="right"/>
              <w:rPr>
                <w:rFonts w:ascii="Avenir LT Std 35 Light" w:hAnsi="Avenir LT Std 35 Light"/>
                <w:i/>
                <w:iCs/>
                <w:sz w:val="20"/>
                <w:szCs w:val="20"/>
              </w:rPr>
            </w:pPr>
            <w:r w:rsidRPr="001A6D07">
              <w:rPr>
                <w:rFonts w:ascii="Avenir LT Std 35 Light" w:hAnsi="Avenir LT Std 35 Light"/>
                <w:i/>
                <w:iCs/>
                <w:color w:val="000000"/>
                <w:sz w:val="20"/>
                <w:szCs w:val="20"/>
              </w:rPr>
              <w:t>Total Costs</w:t>
            </w:r>
          </w:p>
        </w:tc>
        <w:tc>
          <w:tcPr>
            <w:tcW w:w="1551" w:type="dxa"/>
            <w:gridSpan w:val="2"/>
            <w:tcBorders>
              <w:top w:val="nil"/>
              <w:left w:val="nil"/>
              <w:bottom w:val="single" w:sz="8" w:space="0" w:color="auto"/>
              <w:right w:val="single" w:sz="8" w:space="0" w:color="auto"/>
            </w:tcBorders>
            <w:shd w:val="clear" w:color="auto" w:fill="DBDBDB"/>
            <w:tcMar>
              <w:top w:w="0" w:type="dxa"/>
              <w:left w:w="108" w:type="dxa"/>
              <w:bottom w:w="0" w:type="dxa"/>
              <w:right w:w="108" w:type="dxa"/>
            </w:tcMar>
            <w:vAlign w:val="center"/>
            <w:hideMark/>
          </w:tcPr>
          <w:p w14:paraId="2D5A35E5" w14:textId="77777777" w:rsidR="001A6D07" w:rsidRPr="001A6D07" w:rsidRDefault="001A6D07" w:rsidP="001A6D07">
            <w:pPr>
              <w:spacing w:after="0"/>
              <w:jc w:val="center"/>
              <w:rPr>
                <w:rFonts w:ascii="Avenir LT Std 35 Light" w:hAnsi="Avenir LT Std 35 Light"/>
                <w:b/>
                <w:bCs/>
                <w:sz w:val="20"/>
                <w:szCs w:val="20"/>
              </w:rPr>
            </w:pPr>
            <w:r w:rsidRPr="001A6D07">
              <w:rPr>
                <w:rFonts w:ascii="Avenir LT Std 35 Light" w:hAnsi="Avenir LT Std 35 Light"/>
                <w:b/>
                <w:bCs/>
                <w:color w:val="000000"/>
                <w:sz w:val="20"/>
                <w:szCs w:val="20"/>
              </w:rPr>
              <w:t>Low-Income</w:t>
            </w:r>
          </w:p>
        </w:tc>
        <w:tc>
          <w:tcPr>
            <w:tcW w:w="58" w:type="dxa"/>
            <w:vAlign w:val="center"/>
            <w:hideMark/>
          </w:tcPr>
          <w:p w14:paraId="78D2612A" w14:textId="77777777" w:rsidR="001A6D07" w:rsidRPr="001A6D07" w:rsidRDefault="001A6D07" w:rsidP="001A6D07">
            <w:pPr>
              <w:spacing w:after="0"/>
              <w:rPr>
                <w:rFonts w:ascii="Calibri" w:hAnsi="Calibri"/>
                <w:sz w:val="20"/>
                <w:szCs w:val="20"/>
              </w:rPr>
            </w:pPr>
            <w:r w:rsidRPr="001A6D07">
              <w:rPr>
                <w:sz w:val="20"/>
                <w:szCs w:val="20"/>
              </w:rPr>
              <w:t> </w:t>
            </w:r>
          </w:p>
        </w:tc>
      </w:tr>
      <w:tr w:rsidR="00E451C3" w:rsidRPr="001A6D07" w14:paraId="3650432E" w14:textId="77777777" w:rsidTr="00E451C3">
        <w:trPr>
          <w:trHeight w:val="251"/>
          <w:jc w:val="center"/>
        </w:trPr>
        <w:tc>
          <w:tcPr>
            <w:tcW w:w="5611" w:type="dxa"/>
            <w:gridSpan w:val="5"/>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8E34D15" w14:textId="77777777" w:rsidR="001A6D07" w:rsidRPr="001A6D07" w:rsidRDefault="001A6D07" w:rsidP="001A6D07">
            <w:pPr>
              <w:spacing w:after="0"/>
              <w:jc w:val="right"/>
              <w:rPr>
                <w:rFonts w:ascii="Avenir LT Std 35 Light" w:hAnsi="Avenir LT Std 35 Light"/>
                <w:b/>
                <w:bCs/>
                <w:sz w:val="20"/>
                <w:szCs w:val="20"/>
              </w:rPr>
            </w:pPr>
            <w:r w:rsidRPr="001A6D07">
              <w:rPr>
                <w:rFonts w:ascii="Avenir LT Std 35 Light" w:hAnsi="Avenir LT Std 35 Light"/>
                <w:b/>
                <w:bCs/>
                <w:sz w:val="20"/>
                <w:szCs w:val="20"/>
              </w:rPr>
              <w:t xml:space="preserve">Total WIP Incentives </w:t>
            </w:r>
          </w:p>
        </w:tc>
        <w:tc>
          <w:tcPr>
            <w:tcW w:w="1551"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14:paraId="23110A3A" w14:textId="77777777" w:rsidR="001A6D07" w:rsidRPr="001A6D07" w:rsidRDefault="001A6D07" w:rsidP="001A6D07">
            <w:pPr>
              <w:spacing w:after="0"/>
              <w:jc w:val="center"/>
              <w:rPr>
                <w:rFonts w:ascii="Avenir LT Std 35 Light" w:hAnsi="Avenir LT Std 35 Light"/>
                <w:sz w:val="20"/>
                <w:szCs w:val="20"/>
              </w:rPr>
            </w:pPr>
            <w:r w:rsidRPr="001A6D07">
              <w:rPr>
                <w:rFonts w:ascii="Avenir LT Std 35 Light" w:hAnsi="Avenir LT Std 35 Light"/>
                <w:sz w:val="20"/>
                <w:szCs w:val="20"/>
              </w:rPr>
              <w:t>$186,311</w:t>
            </w:r>
          </w:p>
        </w:tc>
        <w:tc>
          <w:tcPr>
            <w:tcW w:w="58" w:type="dxa"/>
            <w:vAlign w:val="center"/>
            <w:hideMark/>
          </w:tcPr>
          <w:p w14:paraId="5FC2269D" w14:textId="77777777" w:rsidR="001A6D07" w:rsidRPr="001A6D07" w:rsidRDefault="001A6D07" w:rsidP="001A6D07">
            <w:pPr>
              <w:spacing w:after="0"/>
              <w:rPr>
                <w:rFonts w:ascii="Calibri" w:hAnsi="Calibri"/>
                <w:sz w:val="20"/>
                <w:szCs w:val="20"/>
              </w:rPr>
            </w:pPr>
            <w:r w:rsidRPr="001A6D07">
              <w:rPr>
                <w:sz w:val="20"/>
                <w:szCs w:val="20"/>
              </w:rPr>
              <w:t> </w:t>
            </w:r>
          </w:p>
        </w:tc>
      </w:tr>
      <w:tr w:rsidR="00E451C3" w:rsidRPr="001A6D07" w14:paraId="0AEAB093" w14:textId="77777777" w:rsidTr="00E451C3">
        <w:trPr>
          <w:trHeight w:val="251"/>
          <w:jc w:val="center"/>
        </w:trPr>
        <w:tc>
          <w:tcPr>
            <w:tcW w:w="5611" w:type="dxa"/>
            <w:gridSpan w:val="5"/>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02E1600" w14:textId="77777777" w:rsidR="001A6D07" w:rsidRPr="001A6D07" w:rsidRDefault="001A6D07" w:rsidP="001A6D07">
            <w:pPr>
              <w:spacing w:after="0"/>
              <w:jc w:val="right"/>
              <w:rPr>
                <w:rFonts w:ascii="Avenir LT Std 35 Light" w:hAnsi="Avenir LT Std 35 Light"/>
                <w:b/>
                <w:bCs/>
                <w:sz w:val="20"/>
                <w:szCs w:val="20"/>
              </w:rPr>
            </w:pPr>
            <w:r w:rsidRPr="001A6D07">
              <w:rPr>
                <w:rFonts w:ascii="Avenir LT Std 35 Light" w:hAnsi="Avenir LT Std 35 Light"/>
                <w:b/>
                <w:bCs/>
                <w:sz w:val="20"/>
                <w:szCs w:val="20"/>
              </w:rPr>
              <w:t xml:space="preserve">Total EWIP Incentives </w:t>
            </w:r>
          </w:p>
        </w:tc>
        <w:tc>
          <w:tcPr>
            <w:tcW w:w="1551"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0ED31E" w14:textId="77777777" w:rsidR="001A6D07" w:rsidRPr="001A6D07" w:rsidRDefault="001A6D07" w:rsidP="001A6D07">
            <w:pPr>
              <w:spacing w:after="0"/>
              <w:jc w:val="center"/>
              <w:rPr>
                <w:rFonts w:ascii="Avenir LT Std 35 Light" w:hAnsi="Avenir LT Std 35 Light"/>
                <w:sz w:val="20"/>
                <w:szCs w:val="20"/>
              </w:rPr>
            </w:pPr>
            <w:r w:rsidRPr="001A6D07">
              <w:rPr>
                <w:rFonts w:ascii="Avenir LT Std 35 Light" w:hAnsi="Avenir LT Std 35 Light"/>
                <w:sz w:val="20"/>
                <w:szCs w:val="20"/>
              </w:rPr>
              <w:t>$327,060</w:t>
            </w:r>
          </w:p>
        </w:tc>
        <w:tc>
          <w:tcPr>
            <w:tcW w:w="58" w:type="dxa"/>
            <w:vAlign w:val="center"/>
            <w:hideMark/>
          </w:tcPr>
          <w:p w14:paraId="2AC60CED" w14:textId="77777777" w:rsidR="001A6D07" w:rsidRPr="001A6D07" w:rsidRDefault="001A6D07" w:rsidP="001A6D07">
            <w:pPr>
              <w:spacing w:after="0"/>
              <w:rPr>
                <w:rFonts w:ascii="Calibri" w:hAnsi="Calibri"/>
                <w:sz w:val="20"/>
                <w:szCs w:val="20"/>
              </w:rPr>
            </w:pPr>
            <w:r w:rsidRPr="001A6D07">
              <w:rPr>
                <w:sz w:val="20"/>
                <w:szCs w:val="20"/>
              </w:rPr>
              <w:t> </w:t>
            </w:r>
          </w:p>
        </w:tc>
      </w:tr>
      <w:tr w:rsidR="00E451C3" w:rsidRPr="001A6D07" w14:paraId="743C8282" w14:textId="77777777" w:rsidTr="00E451C3">
        <w:trPr>
          <w:trHeight w:val="251"/>
          <w:jc w:val="center"/>
        </w:trPr>
        <w:tc>
          <w:tcPr>
            <w:tcW w:w="5611" w:type="dxa"/>
            <w:gridSpan w:val="5"/>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884AE06" w14:textId="77777777" w:rsidR="001A6D07" w:rsidRPr="001A6D07" w:rsidRDefault="001A6D07" w:rsidP="001A6D07">
            <w:pPr>
              <w:spacing w:after="0"/>
              <w:jc w:val="right"/>
              <w:rPr>
                <w:rFonts w:ascii="Avenir LT Std 35 Light" w:hAnsi="Avenir LT Std 35 Light"/>
                <w:b/>
                <w:bCs/>
                <w:sz w:val="20"/>
                <w:szCs w:val="20"/>
              </w:rPr>
            </w:pPr>
            <w:r w:rsidRPr="001A6D07">
              <w:rPr>
                <w:rFonts w:ascii="Avenir LT Std 35 Light" w:hAnsi="Avenir LT Std 35 Light"/>
                <w:b/>
                <w:bCs/>
                <w:sz w:val="20"/>
                <w:szCs w:val="20"/>
              </w:rPr>
              <w:t>15% Project Coordination</w:t>
            </w:r>
          </w:p>
        </w:tc>
        <w:tc>
          <w:tcPr>
            <w:tcW w:w="1551"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1505FA" w14:textId="77777777" w:rsidR="001A6D07" w:rsidRPr="001A6D07" w:rsidRDefault="001A6D07" w:rsidP="001A6D07">
            <w:pPr>
              <w:spacing w:after="0"/>
              <w:jc w:val="center"/>
              <w:rPr>
                <w:rFonts w:ascii="Avenir LT Std 35 Light" w:hAnsi="Avenir LT Std 35 Light"/>
                <w:sz w:val="20"/>
                <w:szCs w:val="20"/>
              </w:rPr>
            </w:pPr>
            <w:r w:rsidRPr="001A6D07">
              <w:rPr>
                <w:rFonts w:ascii="Avenir LT Std 35 Light" w:hAnsi="Avenir LT Std 35 Light"/>
                <w:sz w:val="20"/>
                <w:szCs w:val="20"/>
              </w:rPr>
              <w:t>$75,659</w:t>
            </w:r>
          </w:p>
        </w:tc>
        <w:tc>
          <w:tcPr>
            <w:tcW w:w="58" w:type="dxa"/>
            <w:vAlign w:val="center"/>
            <w:hideMark/>
          </w:tcPr>
          <w:p w14:paraId="529333F1" w14:textId="77777777" w:rsidR="001A6D07" w:rsidRPr="001A6D07" w:rsidRDefault="001A6D07" w:rsidP="001A6D07">
            <w:pPr>
              <w:spacing w:after="0"/>
              <w:rPr>
                <w:rFonts w:ascii="Calibri" w:hAnsi="Calibri"/>
                <w:sz w:val="20"/>
                <w:szCs w:val="20"/>
              </w:rPr>
            </w:pPr>
            <w:r w:rsidRPr="001A6D07">
              <w:rPr>
                <w:sz w:val="20"/>
                <w:szCs w:val="20"/>
              </w:rPr>
              <w:t> </w:t>
            </w:r>
          </w:p>
        </w:tc>
      </w:tr>
      <w:tr w:rsidR="00E451C3" w:rsidRPr="001A6D07" w14:paraId="15E66987" w14:textId="77777777" w:rsidTr="00E451C3">
        <w:trPr>
          <w:trHeight w:val="251"/>
          <w:jc w:val="center"/>
        </w:trPr>
        <w:tc>
          <w:tcPr>
            <w:tcW w:w="5611" w:type="dxa"/>
            <w:gridSpan w:val="5"/>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067ACE3" w14:textId="77777777" w:rsidR="001A6D07" w:rsidRPr="001A6D07" w:rsidRDefault="001A6D07" w:rsidP="001A6D07">
            <w:pPr>
              <w:spacing w:after="0"/>
              <w:jc w:val="right"/>
              <w:rPr>
                <w:rFonts w:ascii="Avenir LT Std 35 Light" w:hAnsi="Avenir LT Std 35 Light"/>
                <w:b/>
                <w:bCs/>
                <w:sz w:val="20"/>
                <w:szCs w:val="20"/>
              </w:rPr>
            </w:pPr>
            <w:r w:rsidRPr="001A6D07">
              <w:rPr>
                <w:rFonts w:ascii="Avenir LT Std 35 Light" w:hAnsi="Avenir LT Std 35 Light"/>
                <w:b/>
                <w:bCs/>
                <w:sz w:val="20"/>
                <w:szCs w:val="20"/>
              </w:rPr>
              <w:t>10% Indirect Rate</w:t>
            </w:r>
          </w:p>
        </w:tc>
        <w:tc>
          <w:tcPr>
            <w:tcW w:w="1551"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14:paraId="34605D74" w14:textId="77777777" w:rsidR="001A6D07" w:rsidRPr="001A6D07" w:rsidRDefault="001A6D07" w:rsidP="001A6D07">
            <w:pPr>
              <w:spacing w:after="0"/>
              <w:jc w:val="center"/>
              <w:rPr>
                <w:rFonts w:ascii="Avenir LT Std 35 Light" w:hAnsi="Avenir LT Std 35 Light"/>
                <w:sz w:val="20"/>
                <w:szCs w:val="20"/>
              </w:rPr>
            </w:pPr>
            <w:r w:rsidRPr="001A6D07">
              <w:rPr>
                <w:rFonts w:ascii="Avenir LT Std 35 Light" w:hAnsi="Avenir LT Std 35 Light"/>
                <w:sz w:val="20"/>
                <w:szCs w:val="20"/>
              </w:rPr>
              <w:t xml:space="preserve">$50,439 </w:t>
            </w:r>
          </w:p>
        </w:tc>
        <w:tc>
          <w:tcPr>
            <w:tcW w:w="58" w:type="dxa"/>
            <w:vAlign w:val="center"/>
            <w:hideMark/>
          </w:tcPr>
          <w:p w14:paraId="6FEDEE93" w14:textId="77777777" w:rsidR="001A6D07" w:rsidRPr="001A6D07" w:rsidRDefault="001A6D07" w:rsidP="001A6D07">
            <w:pPr>
              <w:spacing w:after="0"/>
              <w:rPr>
                <w:rFonts w:ascii="Calibri" w:hAnsi="Calibri"/>
                <w:sz w:val="20"/>
                <w:szCs w:val="20"/>
              </w:rPr>
            </w:pPr>
            <w:r w:rsidRPr="001A6D07">
              <w:rPr>
                <w:sz w:val="20"/>
                <w:szCs w:val="20"/>
              </w:rPr>
              <w:t> </w:t>
            </w:r>
          </w:p>
        </w:tc>
      </w:tr>
      <w:tr w:rsidR="00E451C3" w:rsidRPr="001A6D07" w14:paraId="59D510A0" w14:textId="77777777" w:rsidTr="00E451C3">
        <w:trPr>
          <w:trHeight w:val="251"/>
          <w:jc w:val="center"/>
        </w:trPr>
        <w:tc>
          <w:tcPr>
            <w:tcW w:w="5611" w:type="dxa"/>
            <w:gridSpan w:val="5"/>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36B17B7" w14:textId="77777777" w:rsidR="001A6D07" w:rsidRPr="001A6D07" w:rsidRDefault="001A6D07" w:rsidP="001A6D07">
            <w:pPr>
              <w:spacing w:after="0"/>
              <w:jc w:val="right"/>
              <w:rPr>
                <w:rFonts w:ascii="Avenir LT Std 35 Light" w:hAnsi="Avenir LT Std 35 Light"/>
                <w:b/>
                <w:bCs/>
                <w:sz w:val="20"/>
                <w:szCs w:val="20"/>
              </w:rPr>
            </w:pPr>
            <w:r w:rsidRPr="001A6D07">
              <w:rPr>
                <w:rFonts w:ascii="Avenir LT Std 35 Light" w:hAnsi="Avenir LT Std 35 Light"/>
                <w:b/>
                <w:bCs/>
                <w:sz w:val="20"/>
                <w:szCs w:val="20"/>
              </w:rPr>
              <w:t>Total Project Costs with Agency Admin</w:t>
            </w:r>
          </w:p>
        </w:tc>
        <w:tc>
          <w:tcPr>
            <w:tcW w:w="1551"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799FBE" w14:textId="77777777" w:rsidR="001A6D07" w:rsidRPr="001A6D07" w:rsidRDefault="001A6D07" w:rsidP="001A6D07">
            <w:pPr>
              <w:spacing w:after="0"/>
              <w:jc w:val="center"/>
              <w:rPr>
                <w:rFonts w:ascii="Avenir LT Std 35 Light" w:hAnsi="Avenir LT Std 35 Light"/>
                <w:sz w:val="20"/>
                <w:szCs w:val="20"/>
              </w:rPr>
            </w:pPr>
            <w:r w:rsidRPr="001A6D07">
              <w:rPr>
                <w:rFonts w:ascii="Avenir LT Std 35 Light" w:hAnsi="Avenir LT Std 35 Light"/>
                <w:sz w:val="20"/>
                <w:szCs w:val="20"/>
              </w:rPr>
              <w:t>$639,469</w:t>
            </w:r>
          </w:p>
        </w:tc>
        <w:tc>
          <w:tcPr>
            <w:tcW w:w="58" w:type="dxa"/>
            <w:vAlign w:val="center"/>
            <w:hideMark/>
          </w:tcPr>
          <w:p w14:paraId="1AF23B2E" w14:textId="77777777" w:rsidR="001A6D07" w:rsidRPr="001A6D07" w:rsidRDefault="001A6D07" w:rsidP="001A6D07">
            <w:pPr>
              <w:spacing w:after="0"/>
              <w:rPr>
                <w:rFonts w:ascii="Calibri" w:hAnsi="Calibri"/>
                <w:sz w:val="20"/>
                <w:szCs w:val="20"/>
              </w:rPr>
            </w:pPr>
            <w:r w:rsidRPr="001A6D07">
              <w:rPr>
                <w:sz w:val="20"/>
                <w:szCs w:val="20"/>
              </w:rPr>
              <w:t> </w:t>
            </w:r>
          </w:p>
        </w:tc>
      </w:tr>
      <w:tr w:rsidR="00E451C3" w:rsidRPr="001A6D07" w14:paraId="6E4D7D60" w14:textId="77777777" w:rsidTr="00E451C3">
        <w:trPr>
          <w:trHeight w:val="251"/>
          <w:jc w:val="center"/>
        </w:trPr>
        <w:tc>
          <w:tcPr>
            <w:tcW w:w="5611" w:type="dxa"/>
            <w:gridSpan w:val="5"/>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DEBBDD0" w14:textId="358334EC" w:rsidR="001A6D07" w:rsidRPr="001A6D07" w:rsidRDefault="001A6D07" w:rsidP="001A6D07">
            <w:pPr>
              <w:spacing w:after="0"/>
              <w:jc w:val="right"/>
              <w:rPr>
                <w:rFonts w:ascii="Avenir LT Std 35 Light" w:hAnsi="Avenir LT Std 35 Light"/>
                <w:b/>
                <w:bCs/>
                <w:sz w:val="20"/>
                <w:szCs w:val="20"/>
              </w:rPr>
            </w:pPr>
            <w:r w:rsidRPr="001A6D07">
              <w:rPr>
                <w:rFonts w:ascii="Avenir LT Std 35 Light" w:hAnsi="Avenir LT Std 35 Light"/>
                <w:b/>
                <w:bCs/>
                <w:sz w:val="20"/>
                <w:szCs w:val="20"/>
              </w:rPr>
              <w:t>Cascade Admin (Including Program Outreach)</w:t>
            </w:r>
          </w:p>
        </w:tc>
        <w:tc>
          <w:tcPr>
            <w:tcW w:w="1551"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DDBFC9" w14:textId="77777777" w:rsidR="001A6D07" w:rsidRPr="001A6D07" w:rsidRDefault="001A6D07" w:rsidP="001A6D07">
            <w:pPr>
              <w:keepNext/>
              <w:spacing w:after="0"/>
              <w:jc w:val="center"/>
              <w:rPr>
                <w:rFonts w:ascii="Avenir LT Std 35 Light" w:hAnsi="Avenir LT Std 35 Light"/>
                <w:sz w:val="20"/>
                <w:szCs w:val="20"/>
              </w:rPr>
            </w:pPr>
            <w:r w:rsidRPr="001A6D07">
              <w:rPr>
                <w:rFonts w:ascii="Avenir LT Std 35 Light" w:hAnsi="Avenir LT Std 35 Light"/>
                <w:color w:val="000000"/>
                <w:sz w:val="20"/>
                <w:szCs w:val="20"/>
              </w:rPr>
              <w:t>$29,850</w:t>
            </w:r>
          </w:p>
        </w:tc>
        <w:tc>
          <w:tcPr>
            <w:tcW w:w="58" w:type="dxa"/>
            <w:vAlign w:val="center"/>
            <w:hideMark/>
          </w:tcPr>
          <w:p w14:paraId="51135916" w14:textId="77777777" w:rsidR="001A6D07" w:rsidRPr="001A6D07" w:rsidRDefault="001A6D07" w:rsidP="001A6D07">
            <w:pPr>
              <w:spacing w:after="0"/>
              <w:rPr>
                <w:rFonts w:ascii="Calibri" w:hAnsi="Calibri"/>
                <w:sz w:val="20"/>
                <w:szCs w:val="20"/>
              </w:rPr>
            </w:pPr>
            <w:r w:rsidRPr="001A6D07">
              <w:rPr>
                <w:sz w:val="20"/>
                <w:szCs w:val="20"/>
              </w:rPr>
              <w:t> </w:t>
            </w:r>
          </w:p>
        </w:tc>
      </w:tr>
      <w:tr w:rsidR="00E451C3" w:rsidRPr="001A6D07" w14:paraId="21F9EED9" w14:textId="77777777" w:rsidTr="00E451C3">
        <w:trPr>
          <w:trHeight w:val="12"/>
          <w:jc w:val="center"/>
        </w:trPr>
        <w:tc>
          <w:tcPr>
            <w:tcW w:w="731" w:type="dxa"/>
            <w:vAlign w:val="center"/>
            <w:hideMark/>
          </w:tcPr>
          <w:p w14:paraId="2DCFCAA8" w14:textId="77777777" w:rsidR="001A6D07" w:rsidRPr="001A6D07" w:rsidRDefault="001A6D07" w:rsidP="001A6D07">
            <w:pPr>
              <w:spacing w:after="0"/>
              <w:rPr>
                <w:sz w:val="20"/>
                <w:szCs w:val="20"/>
              </w:rPr>
            </w:pPr>
          </w:p>
        </w:tc>
        <w:tc>
          <w:tcPr>
            <w:tcW w:w="930" w:type="dxa"/>
            <w:vAlign w:val="center"/>
            <w:hideMark/>
          </w:tcPr>
          <w:p w14:paraId="179E4F66" w14:textId="77777777" w:rsidR="001A6D07" w:rsidRPr="001A6D07" w:rsidRDefault="001A6D07" w:rsidP="001A6D07">
            <w:pPr>
              <w:spacing w:after="0"/>
              <w:rPr>
                <w:rFonts w:ascii="Times New Roman" w:eastAsia="Times New Roman" w:hAnsi="Times New Roman" w:cs="Times New Roman"/>
                <w:sz w:val="20"/>
                <w:szCs w:val="20"/>
              </w:rPr>
            </w:pPr>
          </w:p>
        </w:tc>
        <w:tc>
          <w:tcPr>
            <w:tcW w:w="1198" w:type="dxa"/>
            <w:vAlign w:val="center"/>
            <w:hideMark/>
          </w:tcPr>
          <w:p w14:paraId="2F58B0A8" w14:textId="77777777" w:rsidR="001A6D07" w:rsidRPr="001A6D07" w:rsidRDefault="001A6D07" w:rsidP="001A6D07">
            <w:pPr>
              <w:spacing w:after="0"/>
              <w:rPr>
                <w:rFonts w:ascii="Times New Roman" w:eastAsia="Times New Roman" w:hAnsi="Times New Roman" w:cs="Times New Roman"/>
                <w:sz w:val="20"/>
                <w:szCs w:val="20"/>
              </w:rPr>
            </w:pPr>
          </w:p>
        </w:tc>
        <w:tc>
          <w:tcPr>
            <w:tcW w:w="1762" w:type="dxa"/>
            <w:vAlign w:val="center"/>
            <w:hideMark/>
          </w:tcPr>
          <w:p w14:paraId="787DE423" w14:textId="77777777" w:rsidR="001A6D07" w:rsidRPr="001A6D07" w:rsidRDefault="001A6D07" w:rsidP="001A6D07">
            <w:pPr>
              <w:spacing w:after="0"/>
              <w:rPr>
                <w:rFonts w:ascii="Times New Roman" w:eastAsia="Times New Roman" w:hAnsi="Times New Roman" w:cs="Times New Roman"/>
                <w:sz w:val="20"/>
                <w:szCs w:val="20"/>
              </w:rPr>
            </w:pPr>
          </w:p>
        </w:tc>
        <w:tc>
          <w:tcPr>
            <w:tcW w:w="988" w:type="dxa"/>
            <w:vAlign w:val="center"/>
            <w:hideMark/>
          </w:tcPr>
          <w:p w14:paraId="10A5FB05" w14:textId="77777777" w:rsidR="001A6D07" w:rsidRPr="001A6D07" w:rsidRDefault="001A6D07" w:rsidP="001A6D07">
            <w:pPr>
              <w:spacing w:after="0"/>
              <w:rPr>
                <w:rFonts w:ascii="Times New Roman" w:eastAsia="Times New Roman" w:hAnsi="Times New Roman" w:cs="Times New Roman"/>
                <w:sz w:val="20"/>
                <w:szCs w:val="20"/>
              </w:rPr>
            </w:pPr>
          </w:p>
        </w:tc>
        <w:tc>
          <w:tcPr>
            <w:tcW w:w="346" w:type="dxa"/>
            <w:vAlign w:val="center"/>
            <w:hideMark/>
          </w:tcPr>
          <w:p w14:paraId="4A9B9C4C" w14:textId="77777777" w:rsidR="001A6D07" w:rsidRPr="001A6D07" w:rsidRDefault="001A6D07" w:rsidP="001A6D07">
            <w:pPr>
              <w:spacing w:after="0"/>
              <w:rPr>
                <w:rFonts w:ascii="Times New Roman" w:eastAsia="Times New Roman" w:hAnsi="Times New Roman" w:cs="Times New Roman"/>
                <w:sz w:val="20"/>
                <w:szCs w:val="20"/>
              </w:rPr>
            </w:pPr>
          </w:p>
        </w:tc>
        <w:tc>
          <w:tcPr>
            <w:tcW w:w="1205" w:type="dxa"/>
            <w:vAlign w:val="center"/>
            <w:hideMark/>
          </w:tcPr>
          <w:p w14:paraId="4EC7F343" w14:textId="77777777" w:rsidR="001A6D07" w:rsidRPr="001A6D07" w:rsidRDefault="001A6D07" w:rsidP="001A6D07">
            <w:pPr>
              <w:spacing w:after="0"/>
              <w:rPr>
                <w:rFonts w:ascii="Times New Roman" w:eastAsia="Times New Roman" w:hAnsi="Times New Roman" w:cs="Times New Roman"/>
                <w:sz w:val="20"/>
                <w:szCs w:val="20"/>
              </w:rPr>
            </w:pPr>
          </w:p>
        </w:tc>
        <w:tc>
          <w:tcPr>
            <w:tcW w:w="58" w:type="dxa"/>
            <w:vAlign w:val="center"/>
            <w:hideMark/>
          </w:tcPr>
          <w:p w14:paraId="67CC4181" w14:textId="77777777" w:rsidR="001A6D07" w:rsidRPr="001A6D07" w:rsidRDefault="001A6D07" w:rsidP="001A6D07">
            <w:pPr>
              <w:spacing w:after="0"/>
              <w:rPr>
                <w:rFonts w:ascii="Times New Roman" w:eastAsia="Times New Roman" w:hAnsi="Times New Roman" w:cs="Times New Roman"/>
                <w:sz w:val="20"/>
                <w:szCs w:val="20"/>
              </w:rPr>
            </w:pPr>
          </w:p>
        </w:tc>
      </w:tr>
    </w:tbl>
    <w:p w14:paraId="499F7EFA" w14:textId="5235E563" w:rsidR="001A6D07" w:rsidRDefault="00E451C3" w:rsidP="001A6D07">
      <w:pPr>
        <w:pStyle w:val="ListParagraph"/>
        <w:numPr>
          <w:ilvl w:val="0"/>
          <w:numId w:val="19"/>
        </w:numPr>
      </w:pPr>
      <w:r>
        <w:t>Marketing Fund Update</w:t>
      </w:r>
    </w:p>
    <w:p w14:paraId="78ADE333" w14:textId="2FAD46DC" w:rsidR="00E451C3" w:rsidRDefault="00E451C3" w:rsidP="001A1BAD">
      <w:pPr>
        <w:pStyle w:val="ListParagraph"/>
        <w:numPr>
          <w:ilvl w:val="0"/>
          <w:numId w:val="19"/>
        </w:numPr>
      </w:pPr>
      <w:r>
        <w:t xml:space="preserve">MOU Update – 9 Memorandums of Understanding returned to Cascade, this represents 69 homes the agencies anticipate serving in 2021, and ~$954,000 in </w:t>
      </w:r>
      <w:r w:rsidR="001A1BAD">
        <w:t>projects</w:t>
      </w:r>
      <w:r>
        <w:t xml:space="preserve"> </w:t>
      </w:r>
    </w:p>
    <w:p w14:paraId="3753F86F" w14:textId="59D59392" w:rsidR="00DB0367" w:rsidRDefault="00DB0367" w:rsidP="001A6D07">
      <w:pPr>
        <w:pStyle w:val="Heading3"/>
        <w:numPr>
          <w:ilvl w:val="0"/>
          <w:numId w:val="20"/>
        </w:numPr>
        <w:rPr>
          <w:i/>
        </w:rPr>
      </w:pPr>
      <w:r w:rsidRPr="001A1BAD">
        <w:rPr>
          <w:iCs/>
          <w:u w:val="single"/>
        </w:rPr>
        <w:t>CPA update</w:t>
      </w:r>
      <w:r>
        <w:rPr>
          <w:i/>
        </w:rPr>
        <w:t xml:space="preserve">- led by </w:t>
      </w:r>
      <w:r w:rsidR="001A1BAD">
        <w:rPr>
          <w:i/>
        </w:rPr>
        <w:t>Ken Walters (AEG)</w:t>
      </w:r>
      <w:r w:rsidR="005E192B">
        <w:rPr>
          <w:i/>
        </w:rPr>
        <w:t xml:space="preserve"> &amp; Monica Cowlishaw</w:t>
      </w:r>
    </w:p>
    <w:p w14:paraId="718B2326" w14:textId="47BDD8D0" w:rsidR="00892B0E" w:rsidRPr="00892B0E" w:rsidRDefault="00892B0E" w:rsidP="00892B0E">
      <w:pPr>
        <w:spacing w:after="0"/>
        <w:ind w:left="720"/>
      </w:pPr>
      <w:r w:rsidRPr="00892B0E">
        <w:rPr>
          <w:rFonts w:asciiTheme="majorHAnsi" w:eastAsiaTheme="majorEastAsia" w:hAnsiTheme="majorHAnsi" w:cstheme="majorBidi"/>
          <w:b/>
          <w:bCs/>
          <w:iCs/>
          <w:color w:val="4F81BD" w:themeColor="accent1"/>
        </w:rPr>
        <w:object w:dxaOrig="1539" w:dyaOrig="997" w14:anchorId="593371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77.25pt;height:49.5pt" o:ole="">
            <v:imagedata r:id="rId13" o:title=""/>
          </v:shape>
          <o:OLEObject Type="Embed" ProgID="PowerPoint.Show.12" ShapeID="_x0000_i1036" DrawAspect="Icon" ObjectID="_1680015108" r:id="rId14"/>
        </w:object>
      </w:r>
    </w:p>
    <w:p w14:paraId="111CE39B" w14:textId="77777777" w:rsidR="005E192B" w:rsidRPr="005E192B" w:rsidRDefault="005E192B" w:rsidP="005E192B">
      <w:pPr>
        <w:numPr>
          <w:ilvl w:val="1"/>
          <w:numId w:val="20"/>
        </w:numPr>
        <w:spacing w:after="0"/>
      </w:pPr>
      <w:r w:rsidRPr="005E192B">
        <w:t>Low Income Market Analysis</w:t>
      </w:r>
    </w:p>
    <w:p w14:paraId="1C545C52" w14:textId="77777777" w:rsidR="005E192B" w:rsidRPr="005E192B" w:rsidRDefault="005E192B" w:rsidP="005E192B">
      <w:pPr>
        <w:numPr>
          <w:ilvl w:val="2"/>
          <w:numId w:val="20"/>
        </w:numPr>
        <w:spacing w:after="0"/>
      </w:pPr>
      <w:r w:rsidRPr="005E192B">
        <w:t>Segmenting on Income</w:t>
      </w:r>
    </w:p>
    <w:p w14:paraId="6B66734E" w14:textId="77777777" w:rsidR="005E192B" w:rsidRPr="005E192B" w:rsidRDefault="005E192B" w:rsidP="005E192B">
      <w:pPr>
        <w:numPr>
          <w:ilvl w:val="2"/>
          <w:numId w:val="20"/>
        </w:numPr>
        <w:spacing w:after="0"/>
      </w:pPr>
      <w:r w:rsidRPr="005E192B">
        <w:t>Map of customers by income</w:t>
      </w:r>
    </w:p>
    <w:p w14:paraId="5462560B" w14:textId="77777777" w:rsidR="005E192B" w:rsidRPr="005E192B" w:rsidRDefault="005E192B" w:rsidP="005E192B">
      <w:pPr>
        <w:numPr>
          <w:ilvl w:val="2"/>
          <w:numId w:val="20"/>
        </w:numPr>
        <w:spacing w:after="0"/>
      </w:pPr>
      <w:r w:rsidRPr="005E192B">
        <w:t>Application to the CPA</w:t>
      </w:r>
    </w:p>
    <w:p w14:paraId="5B8BD49D" w14:textId="77777777" w:rsidR="005E192B" w:rsidRPr="005E192B" w:rsidRDefault="005E192B" w:rsidP="005E192B">
      <w:pPr>
        <w:numPr>
          <w:ilvl w:val="1"/>
          <w:numId w:val="20"/>
        </w:numPr>
        <w:spacing w:after="0"/>
      </w:pPr>
      <w:r w:rsidRPr="005E192B">
        <w:t>Phase 2 CPA Objectives</w:t>
      </w:r>
    </w:p>
    <w:p w14:paraId="1E68651A" w14:textId="459F4D92" w:rsidR="005E192B" w:rsidRDefault="005E192B" w:rsidP="005E192B">
      <w:pPr>
        <w:numPr>
          <w:ilvl w:val="1"/>
          <w:numId w:val="20"/>
        </w:numPr>
        <w:spacing w:after="0"/>
      </w:pPr>
      <w:r w:rsidRPr="005E192B">
        <w:t>CPA Progress to date</w:t>
      </w:r>
    </w:p>
    <w:p w14:paraId="0B6FC497" w14:textId="26979FC4" w:rsidR="005E192B" w:rsidRDefault="00892B0E" w:rsidP="00892B0E">
      <w:pPr>
        <w:numPr>
          <w:ilvl w:val="2"/>
          <w:numId w:val="20"/>
        </w:numPr>
        <w:spacing w:after="0"/>
      </w:pPr>
      <w:r>
        <w:t>NEI discussion held March 26</w:t>
      </w:r>
      <w:r w:rsidRPr="00892B0E">
        <w:rPr>
          <w:vertAlign w:val="superscript"/>
        </w:rPr>
        <w:t>th</w:t>
      </w:r>
      <w:r>
        <w:t xml:space="preserve"> with interested parties – key takeaways include: </w:t>
      </w:r>
    </w:p>
    <w:p w14:paraId="202A41B5" w14:textId="1BD1B7CD" w:rsidR="00892B0E" w:rsidRDefault="00892B0E" w:rsidP="00892B0E">
      <w:pPr>
        <w:pStyle w:val="ListParagraph"/>
        <w:numPr>
          <w:ilvl w:val="3"/>
          <w:numId w:val="20"/>
        </w:numPr>
        <w:spacing w:after="0" w:line="240" w:lineRule="auto"/>
        <w:contextualSpacing w:val="0"/>
        <w:rPr>
          <w:rFonts w:eastAsia="Times New Roman"/>
        </w:rPr>
      </w:pPr>
      <w:r>
        <w:rPr>
          <w:rFonts w:eastAsia="Times New Roman"/>
        </w:rPr>
        <w:t>Commission Staff would like to see an RVT sensitivity, but at this point in time it is acceptable to use a proxy percent adder as was put in place during the last CPA, recognizing that the Commission will be taking a deeper dive into specific costs and benefits</w:t>
      </w:r>
      <w:r>
        <w:rPr>
          <w:rFonts w:eastAsia="Times New Roman"/>
        </w:rPr>
        <w:t xml:space="preserve"> </w:t>
      </w:r>
      <w:r>
        <w:rPr>
          <w:rFonts w:eastAsia="Times New Roman"/>
        </w:rPr>
        <w:t>soon. This is likely within 2021 as part of a workshop Jennifer Snyder is working on setting up (mostly electric focused, but it may be applicable to gas)</w:t>
      </w:r>
    </w:p>
    <w:p w14:paraId="102787AF" w14:textId="77777777" w:rsidR="00892B0E" w:rsidRDefault="00892B0E" w:rsidP="00892B0E">
      <w:pPr>
        <w:pStyle w:val="ListParagraph"/>
        <w:numPr>
          <w:ilvl w:val="3"/>
          <w:numId w:val="20"/>
        </w:numPr>
        <w:spacing w:after="0" w:line="240" w:lineRule="auto"/>
        <w:contextualSpacing w:val="0"/>
        <w:rPr>
          <w:rFonts w:eastAsia="Times New Roman"/>
        </w:rPr>
      </w:pPr>
      <w:r>
        <w:rPr>
          <w:rFonts w:eastAsia="Times New Roman"/>
        </w:rPr>
        <w:t>If so, AEG will review the previous 20% assumption to ensure it’s still appropriate and make a recommendation for what to use in this study. Additionally, because they segmented the residential analysis by income in the current CPA, we can also consider applying a higher percentage for low income customers.</w:t>
      </w:r>
    </w:p>
    <w:p w14:paraId="21D8F47A" w14:textId="578D10A0" w:rsidR="005E192B" w:rsidRPr="005E192B" w:rsidRDefault="00892B0E" w:rsidP="00892B0E">
      <w:pPr>
        <w:numPr>
          <w:ilvl w:val="3"/>
          <w:numId w:val="20"/>
        </w:numPr>
        <w:spacing w:after="0"/>
      </w:pPr>
      <w:r>
        <w:rPr>
          <w:rFonts w:eastAsia="Times New Roman"/>
        </w:rPr>
        <w:t>To the TRC NEBS discussion – AEG was asked to thoroughly explore national trends and recent research on applicable and quantifiable NEBS to ascertain if there are additional elements that can/or should be included in Cascade’s potential and annual reporting processes.  At this point they haven’t identified any additional elements to incorporate into the potential outside of those that were included in the previous CPA</w:t>
      </w:r>
    </w:p>
    <w:p w14:paraId="25FB56A9" w14:textId="77777777" w:rsidR="005E192B" w:rsidRPr="005E192B" w:rsidRDefault="005E192B" w:rsidP="005E192B">
      <w:pPr>
        <w:numPr>
          <w:ilvl w:val="1"/>
          <w:numId w:val="20"/>
        </w:numPr>
        <w:spacing w:after="0"/>
      </w:pPr>
      <w:r w:rsidRPr="005E192B">
        <w:t>C&amp;I Preliminary Potential</w:t>
      </w:r>
    </w:p>
    <w:p w14:paraId="36385E6C" w14:textId="77777777" w:rsidR="005E192B" w:rsidRPr="005E192B" w:rsidRDefault="005E192B" w:rsidP="005E192B">
      <w:pPr>
        <w:numPr>
          <w:ilvl w:val="2"/>
          <w:numId w:val="20"/>
        </w:numPr>
        <w:spacing w:after="0"/>
      </w:pPr>
      <w:r w:rsidRPr="005E192B">
        <w:t>Overview of potential</w:t>
      </w:r>
    </w:p>
    <w:p w14:paraId="2B8B2496" w14:textId="77777777" w:rsidR="005E192B" w:rsidRPr="005E192B" w:rsidRDefault="005E192B" w:rsidP="005E192B">
      <w:pPr>
        <w:numPr>
          <w:ilvl w:val="2"/>
          <w:numId w:val="20"/>
        </w:numPr>
        <w:spacing w:after="0"/>
      </w:pPr>
      <w:r w:rsidRPr="005E192B">
        <w:t>Comparison to Phase 1</w:t>
      </w:r>
    </w:p>
    <w:p w14:paraId="14074FAF" w14:textId="34479B66" w:rsidR="005E192B" w:rsidRDefault="005E192B" w:rsidP="005E192B">
      <w:pPr>
        <w:numPr>
          <w:ilvl w:val="2"/>
          <w:numId w:val="20"/>
        </w:numPr>
        <w:spacing w:after="0"/>
      </w:pPr>
      <w:r w:rsidRPr="005E192B">
        <w:t>Top 20 C&amp;I Measures</w:t>
      </w:r>
    </w:p>
    <w:p w14:paraId="3A21720B" w14:textId="1ED0A6E4" w:rsidR="005E192B" w:rsidRPr="005E192B" w:rsidRDefault="00892B0E" w:rsidP="00892B0E">
      <w:pPr>
        <w:numPr>
          <w:ilvl w:val="1"/>
          <w:numId w:val="20"/>
        </w:numPr>
        <w:spacing w:after="0"/>
      </w:pPr>
      <w:r>
        <w:t>CPA Next Steps</w:t>
      </w:r>
    </w:p>
    <w:p w14:paraId="2C78ABF2" w14:textId="77777777" w:rsidR="001A1BAD" w:rsidRPr="001A1BAD" w:rsidRDefault="001A1BAD" w:rsidP="001A1BAD"/>
    <w:p w14:paraId="691E4FB4" w14:textId="32316A06" w:rsidR="00211525" w:rsidRDefault="00697436" w:rsidP="001A6D07">
      <w:pPr>
        <w:pStyle w:val="Heading3"/>
        <w:numPr>
          <w:ilvl w:val="0"/>
          <w:numId w:val="20"/>
        </w:numPr>
        <w:rPr>
          <w:u w:val="single"/>
        </w:rPr>
      </w:pPr>
      <w:bookmarkStart w:id="1" w:name="_Hlk508621609"/>
      <w:r>
        <w:rPr>
          <w:u w:val="single"/>
        </w:rPr>
        <w:lastRenderedPageBreak/>
        <w:t xml:space="preserve">Quarter </w:t>
      </w:r>
      <w:r w:rsidR="001A6D07">
        <w:rPr>
          <w:u w:val="single"/>
        </w:rPr>
        <w:t>1</w:t>
      </w:r>
      <w:r w:rsidR="004D6825">
        <w:rPr>
          <w:u w:val="single"/>
        </w:rPr>
        <w:t xml:space="preserve"> </w:t>
      </w:r>
      <w:r w:rsidR="001500DE">
        <w:rPr>
          <w:u w:val="single"/>
        </w:rPr>
        <w:t>u</w:t>
      </w:r>
      <w:r w:rsidR="004D6825">
        <w:rPr>
          <w:u w:val="single"/>
        </w:rPr>
        <w:t>pdate</w:t>
      </w:r>
      <w:r w:rsidR="001500DE" w:rsidRPr="00426E01">
        <w:t xml:space="preserve"> -</w:t>
      </w:r>
      <w:r w:rsidR="001500DE">
        <w:rPr>
          <w:u w:val="single"/>
        </w:rPr>
        <w:t xml:space="preserve"> </w:t>
      </w:r>
      <w:r w:rsidR="001500DE">
        <w:rPr>
          <w:i/>
        </w:rPr>
        <w:t xml:space="preserve">led by Monica Cowlishaw &amp; Bradey Day </w:t>
      </w:r>
    </w:p>
    <w:p w14:paraId="167B5A68" w14:textId="4D2F1B83" w:rsidR="00A63C9D" w:rsidRPr="009C7020" w:rsidRDefault="004D6825" w:rsidP="00C5349F">
      <w:pPr>
        <w:pStyle w:val="ListParagraph"/>
        <w:numPr>
          <w:ilvl w:val="0"/>
          <w:numId w:val="1"/>
        </w:numPr>
        <w:spacing w:after="0"/>
        <w:rPr>
          <w:rFonts w:asciiTheme="majorHAnsi" w:eastAsiaTheme="majorEastAsia" w:hAnsiTheme="majorHAnsi" w:cstheme="majorBidi"/>
          <w:b/>
          <w:bCs/>
          <w:color w:val="365F91" w:themeColor="accent1" w:themeShade="BF"/>
        </w:rPr>
      </w:pPr>
      <w:r w:rsidRPr="009C7020">
        <w:rPr>
          <w:b/>
          <w:bCs/>
        </w:rPr>
        <w:t xml:space="preserve">CNGC is providing quarterly </w:t>
      </w:r>
      <w:r w:rsidR="00BA25AA">
        <w:rPr>
          <w:b/>
          <w:bCs/>
        </w:rPr>
        <w:t xml:space="preserve">progress </w:t>
      </w:r>
      <w:r w:rsidRPr="009C7020">
        <w:rPr>
          <w:b/>
          <w:bCs/>
        </w:rPr>
        <w:t>updates to the CAG</w:t>
      </w:r>
      <w:r w:rsidR="00BA25AA">
        <w:rPr>
          <w:b/>
          <w:bCs/>
        </w:rPr>
        <w:t xml:space="preserve"> </w:t>
      </w:r>
      <w:r w:rsidRPr="009C7020">
        <w:rPr>
          <w:b/>
          <w:bCs/>
        </w:rPr>
        <w:t>–</w:t>
      </w:r>
      <w:r w:rsidR="00BA25AA">
        <w:rPr>
          <w:b/>
          <w:bCs/>
        </w:rPr>
        <w:t xml:space="preserve"> </w:t>
      </w:r>
      <w:r w:rsidRPr="009C7020">
        <w:rPr>
          <w:b/>
          <w:bCs/>
        </w:rPr>
        <w:t>these numbers have not gone through a rigorous end of the year verification and reconciliation as occurs for our official annual report</w:t>
      </w:r>
      <w:r w:rsidR="009C7020">
        <w:rPr>
          <w:b/>
          <w:bCs/>
        </w:rPr>
        <w:t xml:space="preserve"> and are estimates</w:t>
      </w:r>
      <w:r w:rsidRPr="009C7020">
        <w:rPr>
          <w:b/>
          <w:bCs/>
        </w:rPr>
        <w:t>.</w:t>
      </w:r>
      <w:r w:rsidR="00C334F0" w:rsidRPr="009C7020">
        <w:rPr>
          <w:b/>
          <w:bCs/>
        </w:rPr>
        <w:t xml:space="preserve"> (</w:t>
      </w:r>
      <w:r w:rsidR="00C334F0" w:rsidRPr="00BA25AA">
        <w:rPr>
          <w:i/>
          <w:iCs/>
        </w:rPr>
        <w:t xml:space="preserve">data pulled through </w:t>
      </w:r>
      <w:r w:rsidR="001A6D07">
        <w:rPr>
          <w:i/>
          <w:iCs/>
        </w:rPr>
        <w:t>March 2021</w:t>
      </w:r>
      <w:r w:rsidR="00C334F0" w:rsidRPr="009C7020">
        <w:rPr>
          <w:b/>
          <w:bCs/>
        </w:rPr>
        <w:t>)</w:t>
      </w:r>
    </w:p>
    <w:p w14:paraId="04F33331" w14:textId="0EF76C45" w:rsidR="00880C14" w:rsidRDefault="00880C14" w:rsidP="00880C14">
      <w:pPr>
        <w:pStyle w:val="Heading4"/>
        <w:ind w:left="720"/>
      </w:pPr>
      <w:r>
        <w:t>Commercial Highlights</w:t>
      </w:r>
    </w:p>
    <w:p w14:paraId="4B3CAA4C" w14:textId="77777777" w:rsidR="00482FC4" w:rsidRDefault="00482FC4" w:rsidP="00482FC4">
      <w:pPr>
        <w:pStyle w:val="ListParagraph"/>
        <w:numPr>
          <w:ilvl w:val="0"/>
          <w:numId w:val="1"/>
        </w:numPr>
      </w:pPr>
      <w:r>
        <w:t>Because the program expected the large Commercial Oxidizer project to close in Q1 and it did not complete, the program fell short of the quarterly goal and achieved 48,162 therms. Of the total therms expected for the large project 178,483 therms will count toward the program goal of 578,483 therms for the 2021 calendar year. In total, this project will deliver 510,000 therms and an incentive check of $685,000 when it closes, which is now expected to complete in Q2.</w:t>
      </w:r>
    </w:p>
    <w:p w14:paraId="715E031E" w14:textId="77777777" w:rsidR="00482FC4" w:rsidRDefault="00482FC4" w:rsidP="00482FC4">
      <w:pPr>
        <w:pStyle w:val="ListParagraph"/>
        <w:numPr>
          <w:ilvl w:val="0"/>
          <w:numId w:val="1"/>
        </w:numPr>
      </w:pPr>
      <w:r>
        <w:t xml:space="preserve">The numerous delays were largely related to the sourcing of some of the component pieces which make up the Regenerative Thermal Oxidizer (RTO), which is the technology being incentivized. Due to COVID-19 restrictions and lockdowns, the delayed delivery of some of these components set the project back. While it was expected there may be some delays due to COVID-19, the domino effect of these delays set the project back further than expected. </w:t>
      </w:r>
    </w:p>
    <w:p w14:paraId="3EAA8A1D" w14:textId="3F4308B6" w:rsidR="00482FC4" w:rsidRDefault="00482FC4" w:rsidP="00482FC4">
      <w:pPr>
        <w:pStyle w:val="ListParagraph"/>
        <w:numPr>
          <w:ilvl w:val="0"/>
          <w:numId w:val="1"/>
        </w:numPr>
      </w:pPr>
      <w:r>
        <w:t xml:space="preserve">One of the brightest areas of the program in Q1 was with identified projects. For the remainder of the year, the program has identified 804,316 therms in projects, which includes all 510,000 therms from the </w:t>
      </w:r>
      <w:r>
        <w:t>large custom</w:t>
      </w:r>
      <w:r>
        <w:t xml:space="preserve"> project. When including the 178,483 which will contribute toward the annual savings goal, program staff has identified 472,799 therms for the remainder of the year. When combined with the therms already achieved, the program is on track to achieve 90% of goal</w:t>
      </w:r>
      <w:r>
        <w:t>, and when the full savings from the large custom project are included the C/I program will exceed goal for 2021. Please note the 2021 goal is 50% higher than 2020’s.</w:t>
      </w:r>
    </w:p>
    <w:p w14:paraId="726D46C5" w14:textId="2F6AC10A" w:rsidR="00482FC4" w:rsidRDefault="00482FC4" w:rsidP="00482FC4">
      <w:pPr>
        <w:pStyle w:val="ListParagraph"/>
        <w:numPr>
          <w:ilvl w:val="0"/>
          <w:numId w:val="1"/>
        </w:numPr>
      </w:pPr>
      <w:r>
        <w:t xml:space="preserve">While the pipeline is </w:t>
      </w:r>
      <w:r>
        <w:t>robust</w:t>
      </w:r>
      <w:r>
        <w:t>, the majority of the identified projects are projected to close in Q3 and Q4.</w:t>
      </w:r>
    </w:p>
    <w:p w14:paraId="7483944B" w14:textId="5F45F6D9" w:rsidR="00EC4096" w:rsidRDefault="00482FC4" w:rsidP="00482FC4">
      <w:pPr>
        <w:pStyle w:val="ListParagraph"/>
        <w:numPr>
          <w:ilvl w:val="0"/>
          <w:numId w:val="1"/>
        </w:numPr>
      </w:pPr>
      <w:r>
        <w:t xml:space="preserve">Another positive in Q1 </w:t>
      </w:r>
      <w:r>
        <w:t>involved</w:t>
      </w:r>
      <w:r>
        <w:t xml:space="preserve"> adding Gensco to the tankless water heater midstream program. Gensco is very active in the midstream space and has been proactive in identifying contractors and integrating their system with the system designed by program staff.</w:t>
      </w:r>
      <w:r>
        <w:t xml:space="preserve"> </w:t>
      </w:r>
    </w:p>
    <w:p w14:paraId="1A1BC2AB" w14:textId="77777777" w:rsidR="00EC4096" w:rsidRDefault="00EC4096">
      <w:r>
        <w:br w:type="page"/>
      </w:r>
    </w:p>
    <w:p w14:paraId="17CEF7CF" w14:textId="7DF4B6B2" w:rsidR="008D6B1E" w:rsidRDefault="008D6B1E" w:rsidP="008D6B1E">
      <w:pPr>
        <w:pStyle w:val="Heading5"/>
        <w:ind w:left="1080"/>
      </w:pPr>
      <w:r>
        <w:lastRenderedPageBreak/>
        <w:t>Commercial/Industrial Program Total &amp; Comparison to Prior Year</w:t>
      </w:r>
      <w:r w:rsidR="0074606A">
        <w:t xml:space="preserve"> </w:t>
      </w:r>
    </w:p>
    <w:tbl>
      <w:tblPr>
        <w:tblW w:w="8415" w:type="dxa"/>
        <w:tblInd w:w="1309" w:type="dxa"/>
        <w:tblLook w:val="04A0" w:firstRow="1" w:lastRow="0" w:firstColumn="1" w:lastColumn="0" w:noHBand="0" w:noVBand="1"/>
      </w:tblPr>
      <w:tblGrid>
        <w:gridCol w:w="473"/>
        <w:gridCol w:w="2050"/>
        <w:gridCol w:w="634"/>
        <w:gridCol w:w="1111"/>
        <w:gridCol w:w="1200"/>
        <w:gridCol w:w="634"/>
        <w:gridCol w:w="1111"/>
        <w:gridCol w:w="1202"/>
      </w:tblGrid>
      <w:tr w:rsidR="00482FC4" w:rsidRPr="005C1F85" w14:paraId="0A68D0AA" w14:textId="77777777" w:rsidTr="00EC4096">
        <w:trPr>
          <w:trHeight w:val="594"/>
        </w:trPr>
        <w:tc>
          <w:tcPr>
            <w:tcW w:w="473" w:type="dxa"/>
            <w:vMerge w:val="restart"/>
            <w:tcBorders>
              <w:top w:val="single" w:sz="18" w:space="0" w:color="auto"/>
              <w:left w:val="single" w:sz="18" w:space="0" w:color="auto"/>
              <w:bottom w:val="single" w:sz="8" w:space="0" w:color="000000"/>
              <w:right w:val="single" w:sz="8" w:space="0" w:color="auto"/>
            </w:tcBorders>
            <w:shd w:val="clear" w:color="000000" w:fill="FFFFFF"/>
            <w:noWrap/>
            <w:textDirection w:val="btLr"/>
            <w:vAlign w:val="center"/>
            <w:hideMark/>
          </w:tcPr>
          <w:p w14:paraId="3362B9BC" w14:textId="77777777" w:rsidR="00482FC4" w:rsidRPr="005C1F85" w:rsidRDefault="00482FC4" w:rsidP="00EC4096">
            <w:pPr>
              <w:spacing w:after="0" w:line="240" w:lineRule="auto"/>
              <w:ind w:left="113"/>
              <w:jc w:val="center"/>
              <w:rPr>
                <w:rFonts w:eastAsia="Times New Roman" w:cs="Calibri"/>
                <w:sz w:val="20"/>
                <w:szCs w:val="20"/>
              </w:rPr>
            </w:pPr>
            <w:r w:rsidRPr="005C1F85">
              <w:rPr>
                <w:rFonts w:eastAsia="Times New Roman" w:cs="Calibri"/>
                <w:sz w:val="20"/>
                <w:szCs w:val="20"/>
              </w:rPr>
              <w:t>ACHIEVED</w:t>
            </w:r>
          </w:p>
        </w:tc>
        <w:tc>
          <w:tcPr>
            <w:tcW w:w="2050" w:type="dxa"/>
            <w:tcBorders>
              <w:top w:val="single" w:sz="18" w:space="0" w:color="auto"/>
              <w:left w:val="nil"/>
              <w:bottom w:val="nil"/>
              <w:right w:val="nil"/>
            </w:tcBorders>
            <w:shd w:val="clear" w:color="000000" w:fill="008C99"/>
            <w:vAlign w:val="center"/>
            <w:hideMark/>
          </w:tcPr>
          <w:p w14:paraId="6D7C40AE" w14:textId="77777777" w:rsidR="00482FC4" w:rsidRPr="005C1F85" w:rsidRDefault="00482FC4" w:rsidP="00344AF5">
            <w:pPr>
              <w:spacing w:after="0" w:line="240" w:lineRule="auto"/>
              <w:jc w:val="center"/>
              <w:rPr>
                <w:rFonts w:eastAsia="Times New Roman" w:cs="Calibri"/>
                <w:b/>
                <w:bCs/>
                <w:color w:val="FFFFFF"/>
                <w:sz w:val="20"/>
                <w:szCs w:val="20"/>
              </w:rPr>
            </w:pPr>
            <w:r w:rsidRPr="005C1F85">
              <w:rPr>
                <w:rFonts w:eastAsia="Times New Roman" w:cs="Calibri"/>
                <w:b/>
                <w:bCs/>
                <w:color w:val="FFFFFF"/>
                <w:sz w:val="20"/>
                <w:szCs w:val="20"/>
              </w:rPr>
              <w:t>Quarter 1</w:t>
            </w:r>
          </w:p>
        </w:tc>
        <w:tc>
          <w:tcPr>
            <w:tcW w:w="634" w:type="dxa"/>
            <w:tcBorders>
              <w:top w:val="single" w:sz="18" w:space="0" w:color="auto"/>
              <w:left w:val="nil"/>
              <w:bottom w:val="nil"/>
              <w:right w:val="nil"/>
            </w:tcBorders>
            <w:shd w:val="clear" w:color="000000" w:fill="008C99"/>
            <w:vAlign w:val="center"/>
            <w:hideMark/>
          </w:tcPr>
          <w:p w14:paraId="52CA35D1" w14:textId="77777777" w:rsidR="00482FC4" w:rsidRPr="005C1F85" w:rsidRDefault="00482FC4" w:rsidP="00344AF5">
            <w:pPr>
              <w:spacing w:after="0" w:line="240" w:lineRule="auto"/>
              <w:jc w:val="center"/>
              <w:rPr>
                <w:rFonts w:eastAsia="Times New Roman" w:cs="Calibri"/>
                <w:b/>
                <w:bCs/>
                <w:color w:val="FFFFFF"/>
                <w:sz w:val="20"/>
                <w:szCs w:val="20"/>
              </w:rPr>
            </w:pPr>
            <w:r w:rsidRPr="005C1F85">
              <w:rPr>
                <w:rFonts w:eastAsia="Times New Roman" w:cs="Calibri"/>
                <w:b/>
                <w:bCs/>
                <w:color w:val="FFFFFF"/>
                <w:sz w:val="20"/>
                <w:szCs w:val="20"/>
              </w:rPr>
              <w:t xml:space="preserve">2020 (%) </w:t>
            </w:r>
          </w:p>
        </w:tc>
        <w:tc>
          <w:tcPr>
            <w:tcW w:w="1111" w:type="dxa"/>
            <w:tcBorders>
              <w:top w:val="single" w:sz="18" w:space="0" w:color="auto"/>
              <w:left w:val="nil"/>
              <w:bottom w:val="nil"/>
              <w:right w:val="nil"/>
            </w:tcBorders>
            <w:shd w:val="clear" w:color="000000" w:fill="008C99"/>
            <w:vAlign w:val="center"/>
            <w:hideMark/>
          </w:tcPr>
          <w:p w14:paraId="327F6E44" w14:textId="77777777" w:rsidR="00482FC4" w:rsidRPr="005C1F85" w:rsidRDefault="00482FC4" w:rsidP="00344AF5">
            <w:pPr>
              <w:spacing w:after="0" w:line="240" w:lineRule="auto"/>
              <w:jc w:val="center"/>
              <w:rPr>
                <w:rFonts w:eastAsia="Times New Roman" w:cs="Calibri"/>
                <w:b/>
                <w:bCs/>
                <w:color w:val="FFFFFF"/>
                <w:sz w:val="20"/>
                <w:szCs w:val="20"/>
              </w:rPr>
            </w:pPr>
            <w:r w:rsidRPr="005C1F85">
              <w:rPr>
                <w:rFonts w:eastAsia="Times New Roman" w:cs="Calibri"/>
                <w:b/>
                <w:bCs/>
                <w:color w:val="FFFFFF"/>
                <w:sz w:val="20"/>
                <w:szCs w:val="20"/>
              </w:rPr>
              <w:t>2020 Total Therms</w:t>
            </w:r>
          </w:p>
        </w:tc>
        <w:tc>
          <w:tcPr>
            <w:tcW w:w="1200" w:type="dxa"/>
            <w:tcBorders>
              <w:top w:val="single" w:sz="18" w:space="0" w:color="auto"/>
              <w:left w:val="nil"/>
              <w:bottom w:val="nil"/>
              <w:right w:val="nil"/>
            </w:tcBorders>
            <w:shd w:val="clear" w:color="000000" w:fill="008C99"/>
            <w:vAlign w:val="center"/>
            <w:hideMark/>
          </w:tcPr>
          <w:p w14:paraId="5DB5EA49" w14:textId="77777777" w:rsidR="00482FC4" w:rsidRPr="005C1F85" w:rsidRDefault="00482FC4" w:rsidP="00344AF5">
            <w:pPr>
              <w:spacing w:after="0" w:line="240" w:lineRule="auto"/>
              <w:jc w:val="center"/>
              <w:rPr>
                <w:rFonts w:eastAsia="Times New Roman" w:cs="Calibri"/>
                <w:b/>
                <w:bCs/>
                <w:color w:val="FFFFFF"/>
                <w:sz w:val="20"/>
                <w:szCs w:val="20"/>
              </w:rPr>
            </w:pPr>
            <w:r w:rsidRPr="005C1F85">
              <w:rPr>
                <w:rFonts w:eastAsia="Times New Roman" w:cs="Calibri"/>
                <w:b/>
                <w:bCs/>
                <w:color w:val="FFFFFF"/>
                <w:sz w:val="20"/>
                <w:szCs w:val="20"/>
              </w:rPr>
              <w:t>2020 Total Incentive</w:t>
            </w:r>
          </w:p>
        </w:tc>
        <w:tc>
          <w:tcPr>
            <w:tcW w:w="634" w:type="dxa"/>
            <w:tcBorders>
              <w:top w:val="single" w:sz="18" w:space="0" w:color="auto"/>
              <w:left w:val="nil"/>
              <w:bottom w:val="nil"/>
              <w:right w:val="nil"/>
            </w:tcBorders>
            <w:shd w:val="clear" w:color="000000" w:fill="008C99"/>
            <w:vAlign w:val="center"/>
            <w:hideMark/>
          </w:tcPr>
          <w:p w14:paraId="26E9EC94" w14:textId="77777777" w:rsidR="00482FC4" w:rsidRPr="005C1F85" w:rsidRDefault="00482FC4" w:rsidP="00344AF5">
            <w:pPr>
              <w:spacing w:after="0" w:line="240" w:lineRule="auto"/>
              <w:jc w:val="center"/>
              <w:rPr>
                <w:rFonts w:eastAsia="Times New Roman" w:cs="Calibri"/>
                <w:b/>
                <w:bCs/>
                <w:color w:val="FFFFFF"/>
                <w:sz w:val="20"/>
                <w:szCs w:val="20"/>
              </w:rPr>
            </w:pPr>
            <w:r w:rsidRPr="005C1F85">
              <w:rPr>
                <w:rFonts w:eastAsia="Times New Roman" w:cs="Calibri"/>
                <w:b/>
                <w:bCs/>
                <w:color w:val="FFFFFF"/>
                <w:sz w:val="20"/>
                <w:szCs w:val="20"/>
              </w:rPr>
              <w:t xml:space="preserve">2021 (%) </w:t>
            </w:r>
          </w:p>
        </w:tc>
        <w:tc>
          <w:tcPr>
            <w:tcW w:w="1111" w:type="dxa"/>
            <w:tcBorders>
              <w:top w:val="single" w:sz="18" w:space="0" w:color="auto"/>
              <w:left w:val="nil"/>
              <w:bottom w:val="nil"/>
              <w:right w:val="nil"/>
            </w:tcBorders>
            <w:shd w:val="clear" w:color="000000" w:fill="008C99"/>
            <w:vAlign w:val="center"/>
            <w:hideMark/>
          </w:tcPr>
          <w:p w14:paraId="7725BF7B" w14:textId="77777777" w:rsidR="00482FC4" w:rsidRPr="005C1F85" w:rsidRDefault="00482FC4" w:rsidP="00344AF5">
            <w:pPr>
              <w:spacing w:after="0" w:line="240" w:lineRule="auto"/>
              <w:jc w:val="center"/>
              <w:rPr>
                <w:rFonts w:eastAsia="Times New Roman" w:cs="Calibri"/>
                <w:b/>
                <w:bCs/>
                <w:color w:val="FFFFFF"/>
                <w:sz w:val="20"/>
                <w:szCs w:val="20"/>
              </w:rPr>
            </w:pPr>
            <w:r w:rsidRPr="005C1F85">
              <w:rPr>
                <w:rFonts w:eastAsia="Times New Roman" w:cs="Calibri"/>
                <w:b/>
                <w:bCs/>
                <w:color w:val="FFFFFF"/>
                <w:sz w:val="20"/>
                <w:szCs w:val="20"/>
              </w:rPr>
              <w:t>2021 Total Therms</w:t>
            </w:r>
          </w:p>
        </w:tc>
        <w:tc>
          <w:tcPr>
            <w:tcW w:w="1202" w:type="dxa"/>
            <w:tcBorders>
              <w:top w:val="single" w:sz="18" w:space="0" w:color="auto"/>
              <w:left w:val="nil"/>
              <w:bottom w:val="nil"/>
              <w:right w:val="single" w:sz="18" w:space="0" w:color="auto"/>
            </w:tcBorders>
            <w:shd w:val="clear" w:color="000000" w:fill="008C99"/>
            <w:vAlign w:val="center"/>
            <w:hideMark/>
          </w:tcPr>
          <w:p w14:paraId="7E2FCA17" w14:textId="77777777" w:rsidR="00482FC4" w:rsidRPr="005C1F85" w:rsidRDefault="00482FC4" w:rsidP="00344AF5">
            <w:pPr>
              <w:spacing w:after="0" w:line="240" w:lineRule="auto"/>
              <w:jc w:val="center"/>
              <w:rPr>
                <w:rFonts w:eastAsia="Times New Roman" w:cs="Calibri"/>
                <w:b/>
                <w:bCs/>
                <w:color w:val="FFFFFF"/>
                <w:sz w:val="20"/>
                <w:szCs w:val="20"/>
              </w:rPr>
            </w:pPr>
            <w:r w:rsidRPr="005C1F85">
              <w:rPr>
                <w:rFonts w:eastAsia="Times New Roman" w:cs="Calibri"/>
                <w:b/>
                <w:bCs/>
                <w:color w:val="FFFFFF"/>
                <w:sz w:val="20"/>
                <w:szCs w:val="20"/>
              </w:rPr>
              <w:t>2021 Total Incentive</w:t>
            </w:r>
          </w:p>
        </w:tc>
      </w:tr>
      <w:tr w:rsidR="00482FC4" w:rsidRPr="005C1F85" w14:paraId="2BC8E3E3" w14:textId="77777777" w:rsidTr="00EC4096">
        <w:trPr>
          <w:trHeight w:val="297"/>
        </w:trPr>
        <w:tc>
          <w:tcPr>
            <w:tcW w:w="473" w:type="dxa"/>
            <w:vMerge/>
            <w:tcBorders>
              <w:top w:val="single" w:sz="8" w:space="0" w:color="auto"/>
              <w:left w:val="single" w:sz="18" w:space="0" w:color="auto"/>
              <w:bottom w:val="single" w:sz="8" w:space="0" w:color="000000"/>
              <w:right w:val="single" w:sz="8" w:space="0" w:color="auto"/>
            </w:tcBorders>
            <w:vAlign w:val="center"/>
            <w:hideMark/>
          </w:tcPr>
          <w:p w14:paraId="7219CA6B" w14:textId="77777777" w:rsidR="00482FC4" w:rsidRPr="005C1F85" w:rsidRDefault="00482FC4" w:rsidP="00344AF5">
            <w:pPr>
              <w:spacing w:after="0" w:line="240" w:lineRule="auto"/>
              <w:rPr>
                <w:rFonts w:eastAsia="Times New Roman" w:cs="Calibri"/>
                <w:sz w:val="20"/>
                <w:szCs w:val="20"/>
              </w:rPr>
            </w:pPr>
          </w:p>
        </w:tc>
        <w:tc>
          <w:tcPr>
            <w:tcW w:w="2050" w:type="dxa"/>
            <w:tcBorders>
              <w:top w:val="nil"/>
              <w:left w:val="nil"/>
              <w:bottom w:val="nil"/>
              <w:right w:val="nil"/>
            </w:tcBorders>
            <w:shd w:val="clear" w:color="000000" w:fill="FFFFFF"/>
            <w:vAlign w:val="center"/>
            <w:hideMark/>
          </w:tcPr>
          <w:p w14:paraId="627761B5"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Quarter 1 Total</w:t>
            </w:r>
          </w:p>
        </w:tc>
        <w:tc>
          <w:tcPr>
            <w:tcW w:w="634" w:type="dxa"/>
            <w:tcBorders>
              <w:top w:val="nil"/>
              <w:left w:val="nil"/>
              <w:bottom w:val="nil"/>
              <w:right w:val="nil"/>
            </w:tcBorders>
            <w:shd w:val="clear" w:color="000000" w:fill="FFFFFF"/>
            <w:vAlign w:val="center"/>
            <w:hideMark/>
          </w:tcPr>
          <w:p w14:paraId="18EC39E4"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w:t>
            </w:r>
          </w:p>
        </w:tc>
        <w:tc>
          <w:tcPr>
            <w:tcW w:w="1111" w:type="dxa"/>
            <w:tcBorders>
              <w:top w:val="nil"/>
              <w:left w:val="nil"/>
              <w:bottom w:val="nil"/>
              <w:right w:val="nil"/>
            </w:tcBorders>
            <w:shd w:val="clear" w:color="000000" w:fill="FFFFFF"/>
            <w:vAlign w:val="center"/>
            <w:hideMark/>
          </w:tcPr>
          <w:p w14:paraId="3975B133"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70,734</w:t>
            </w:r>
          </w:p>
        </w:tc>
        <w:tc>
          <w:tcPr>
            <w:tcW w:w="1200" w:type="dxa"/>
            <w:tcBorders>
              <w:top w:val="nil"/>
              <w:left w:val="nil"/>
              <w:bottom w:val="nil"/>
              <w:right w:val="nil"/>
            </w:tcBorders>
            <w:shd w:val="clear" w:color="000000" w:fill="FFFFFF"/>
            <w:vAlign w:val="center"/>
            <w:hideMark/>
          </w:tcPr>
          <w:p w14:paraId="731BD567"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xml:space="preserve">$234,122 </w:t>
            </w:r>
          </w:p>
        </w:tc>
        <w:tc>
          <w:tcPr>
            <w:tcW w:w="634" w:type="dxa"/>
            <w:tcBorders>
              <w:top w:val="nil"/>
              <w:left w:val="nil"/>
              <w:bottom w:val="nil"/>
              <w:right w:val="nil"/>
            </w:tcBorders>
            <w:shd w:val="clear" w:color="000000" w:fill="FFFFFF"/>
            <w:vAlign w:val="center"/>
            <w:hideMark/>
          </w:tcPr>
          <w:p w14:paraId="0DD6D57E"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w:t>
            </w:r>
          </w:p>
        </w:tc>
        <w:tc>
          <w:tcPr>
            <w:tcW w:w="1111" w:type="dxa"/>
            <w:tcBorders>
              <w:top w:val="nil"/>
              <w:left w:val="nil"/>
              <w:bottom w:val="nil"/>
              <w:right w:val="nil"/>
            </w:tcBorders>
            <w:shd w:val="clear" w:color="000000" w:fill="FFFFFF"/>
            <w:vAlign w:val="center"/>
            <w:hideMark/>
          </w:tcPr>
          <w:p w14:paraId="05C90D08"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48,162</w:t>
            </w:r>
          </w:p>
        </w:tc>
        <w:tc>
          <w:tcPr>
            <w:tcW w:w="1202" w:type="dxa"/>
            <w:tcBorders>
              <w:top w:val="nil"/>
              <w:left w:val="nil"/>
              <w:bottom w:val="nil"/>
              <w:right w:val="single" w:sz="18" w:space="0" w:color="auto"/>
            </w:tcBorders>
            <w:shd w:val="clear" w:color="000000" w:fill="FFFFFF"/>
            <w:vAlign w:val="center"/>
            <w:hideMark/>
          </w:tcPr>
          <w:p w14:paraId="0D059F9C"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xml:space="preserve">$190,477 </w:t>
            </w:r>
          </w:p>
        </w:tc>
      </w:tr>
      <w:tr w:rsidR="00482FC4" w:rsidRPr="005C1F85" w14:paraId="40D240F0" w14:textId="77777777" w:rsidTr="00EC4096">
        <w:trPr>
          <w:trHeight w:val="297"/>
        </w:trPr>
        <w:tc>
          <w:tcPr>
            <w:tcW w:w="473" w:type="dxa"/>
            <w:vMerge/>
            <w:tcBorders>
              <w:top w:val="single" w:sz="8" w:space="0" w:color="auto"/>
              <w:left w:val="single" w:sz="18" w:space="0" w:color="auto"/>
              <w:bottom w:val="single" w:sz="8" w:space="0" w:color="000000"/>
              <w:right w:val="single" w:sz="8" w:space="0" w:color="auto"/>
            </w:tcBorders>
            <w:vAlign w:val="center"/>
            <w:hideMark/>
          </w:tcPr>
          <w:p w14:paraId="54DB487D" w14:textId="77777777" w:rsidR="00482FC4" w:rsidRPr="005C1F85" w:rsidRDefault="00482FC4" w:rsidP="00344AF5">
            <w:pPr>
              <w:spacing w:after="0" w:line="240" w:lineRule="auto"/>
              <w:rPr>
                <w:rFonts w:eastAsia="Times New Roman" w:cs="Calibri"/>
                <w:sz w:val="20"/>
                <w:szCs w:val="20"/>
              </w:rPr>
            </w:pPr>
          </w:p>
        </w:tc>
        <w:tc>
          <w:tcPr>
            <w:tcW w:w="2050" w:type="dxa"/>
            <w:tcBorders>
              <w:top w:val="nil"/>
              <w:left w:val="nil"/>
              <w:bottom w:val="single" w:sz="8" w:space="0" w:color="auto"/>
              <w:right w:val="nil"/>
            </w:tcBorders>
            <w:shd w:val="clear" w:color="000000" w:fill="FFFFFF"/>
            <w:vAlign w:val="center"/>
            <w:hideMark/>
          </w:tcPr>
          <w:p w14:paraId="7B78D91F"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YTD Total</w:t>
            </w:r>
          </w:p>
        </w:tc>
        <w:tc>
          <w:tcPr>
            <w:tcW w:w="634" w:type="dxa"/>
            <w:tcBorders>
              <w:top w:val="nil"/>
              <w:left w:val="nil"/>
              <w:bottom w:val="single" w:sz="8" w:space="0" w:color="auto"/>
              <w:right w:val="nil"/>
            </w:tcBorders>
            <w:shd w:val="clear" w:color="000000" w:fill="FFFFFF"/>
            <w:vAlign w:val="center"/>
            <w:hideMark/>
          </w:tcPr>
          <w:p w14:paraId="662E61D0"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18%</w:t>
            </w:r>
          </w:p>
        </w:tc>
        <w:tc>
          <w:tcPr>
            <w:tcW w:w="1111" w:type="dxa"/>
            <w:tcBorders>
              <w:top w:val="nil"/>
              <w:left w:val="nil"/>
              <w:bottom w:val="single" w:sz="8" w:space="0" w:color="auto"/>
              <w:right w:val="nil"/>
            </w:tcBorders>
            <w:shd w:val="clear" w:color="000000" w:fill="FFFFFF"/>
            <w:vAlign w:val="center"/>
            <w:hideMark/>
          </w:tcPr>
          <w:p w14:paraId="1C6B439A"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70,734</w:t>
            </w:r>
          </w:p>
        </w:tc>
        <w:tc>
          <w:tcPr>
            <w:tcW w:w="1200" w:type="dxa"/>
            <w:tcBorders>
              <w:top w:val="nil"/>
              <w:left w:val="nil"/>
              <w:bottom w:val="single" w:sz="8" w:space="0" w:color="auto"/>
              <w:right w:val="nil"/>
            </w:tcBorders>
            <w:shd w:val="clear" w:color="000000" w:fill="FFFFFF"/>
            <w:vAlign w:val="center"/>
            <w:hideMark/>
          </w:tcPr>
          <w:p w14:paraId="5A0D3905"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 xml:space="preserve">$234,122 </w:t>
            </w:r>
          </w:p>
        </w:tc>
        <w:tc>
          <w:tcPr>
            <w:tcW w:w="634" w:type="dxa"/>
            <w:tcBorders>
              <w:top w:val="nil"/>
              <w:left w:val="nil"/>
              <w:bottom w:val="single" w:sz="8" w:space="0" w:color="auto"/>
              <w:right w:val="nil"/>
            </w:tcBorders>
            <w:shd w:val="clear" w:color="000000" w:fill="FFFFFF"/>
            <w:vAlign w:val="center"/>
            <w:hideMark/>
          </w:tcPr>
          <w:p w14:paraId="485158FF"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8%</w:t>
            </w:r>
          </w:p>
        </w:tc>
        <w:tc>
          <w:tcPr>
            <w:tcW w:w="1111" w:type="dxa"/>
            <w:tcBorders>
              <w:top w:val="nil"/>
              <w:left w:val="nil"/>
              <w:bottom w:val="single" w:sz="8" w:space="0" w:color="auto"/>
              <w:right w:val="nil"/>
            </w:tcBorders>
            <w:shd w:val="clear" w:color="000000" w:fill="FFFFFF"/>
            <w:vAlign w:val="center"/>
            <w:hideMark/>
          </w:tcPr>
          <w:p w14:paraId="73D002DA"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48,162</w:t>
            </w:r>
          </w:p>
        </w:tc>
        <w:tc>
          <w:tcPr>
            <w:tcW w:w="1202" w:type="dxa"/>
            <w:tcBorders>
              <w:top w:val="nil"/>
              <w:left w:val="nil"/>
              <w:bottom w:val="single" w:sz="8" w:space="0" w:color="auto"/>
              <w:right w:val="single" w:sz="18" w:space="0" w:color="auto"/>
            </w:tcBorders>
            <w:shd w:val="clear" w:color="000000" w:fill="FFFFFF"/>
            <w:vAlign w:val="center"/>
            <w:hideMark/>
          </w:tcPr>
          <w:p w14:paraId="0E0A6BB2"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 xml:space="preserve">$190,477 </w:t>
            </w:r>
          </w:p>
        </w:tc>
      </w:tr>
      <w:tr w:rsidR="00482FC4" w:rsidRPr="005C1F85" w14:paraId="1C6BB4BE" w14:textId="77777777" w:rsidTr="00EC4096">
        <w:trPr>
          <w:trHeight w:val="297"/>
        </w:trPr>
        <w:tc>
          <w:tcPr>
            <w:tcW w:w="473" w:type="dxa"/>
            <w:vMerge w:val="restart"/>
            <w:tcBorders>
              <w:top w:val="nil"/>
              <w:left w:val="single" w:sz="18" w:space="0" w:color="auto"/>
              <w:bottom w:val="single" w:sz="8" w:space="0" w:color="000000"/>
              <w:right w:val="single" w:sz="8" w:space="0" w:color="auto"/>
            </w:tcBorders>
            <w:shd w:val="clear" w:color="000000" w:fill="FFFFFF"/>
            <w:noWrap/>
            <w:textDirection w:val="btLr"/>
            <w:vAlign w:val="center"/>
            <w:hideMark/>
          </w:tcPr>
          <w:p w14:paraId="5D1216A5"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IN PROGRESS</w:t>
            </w:r>
          </w:p>
        </w:tc>
        <w:tc>
          <w:tcPr>
            <w:tcW w:w="2050" w:type="dxa"/>
            <w:tcBorders>
              <w:top w:val="nil"/>
              <w:left w:val="nil"/>
              <w:bottom w:val="nil"/>
              <w:right w:val="nil"/>
            </w:tcBorders>
            <w:shd w:val="clear" w:color="000000" w:fill="FFFFFF"/>
            <w:vAlign w:val="center"/>
            <w:hideMark/>
          </w:tcPr>
          <w:p w14:paraId="19FBA185"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Pre-Pipeline</w:t>
            </w:r>
          </w:p>
        </w:tc>
        <w:tc>
          <w:tcPr>
            <w:tcW w:w="634" w:type="dxa"/>
            <w:tcBorders>
              <w:top w:val="nil"/>
              <w:left w:val="nil"/>
              <w:bottom w:val="nil"/>
              <w:right w:val="nil"/>
            </w:tcBorders>
            <w:shd w:val="clear" w:color="000000" w:fill="FFFFFF"/>
            <w:vAlign w:val="center"/>
            <w:hideMark/>
          </w:tcPr>
          <w:p w14:paraId="65701C2B"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w:t>
            </w:r>
          </w:p>
        </w:tc>
        <w:tc>
          <w:tcPr>
            <w:tcW w:w="1111" w:type="dxa"/>
            <w:tcBorders>
              <w:top w:val="nil"/>
              <w:left w:val="nil"/>
              <w:bottom w:val="nil"/>
              <w:right w:val="nil"/>
            </w:tcBorders>
            <w:shd w:val="clear" w:color="000000" w:fill="FFFFFF"/>
            <w:vAlign w:val="center"/>
            <w:hideMark/>
          </w:tcPr>
          <w:p w14:paraId="18F587F2"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w:t>
            </w:r>
          </w:p>
        </w:tc>
        <w:tc>
          <w:tcPr>
            <w:tcW w:w="1200" w:type="dxa"/>
            <w:tcBorders>
              <w:top w:val="nil"/>
              <w:left w:val="nil"/>
              <w:bottom w:val="nil"/>
              <w:right w:val="nil"/>
            </w:tcBorders>
            <w:shd w:val="clear" w:color="000000" w:fill="FFFFFF"/>
            <w:vAlign w:val="center"/>
            <w:hideMark/>
          </w:tcPr>
          <w:p w14:paraId="1E6D1F17"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w:t>
            </w:r>
          </w:p>
        </w:tc>
        <w:tc>
          <w:tcPr>
            <w:tcW w:w="634" w:type="dxa"/>
            <w:tcBorders>
              <w:top w:val="nil"/>
              <w:left w:val="nil"/>
              <w:bottom w:val="nil"/>
              <w:right w:val="nil"/>
            </w:tcBorders>
            <w:shd w:val="clear" w:color="000000" w:fill="FFFFFF"/>
            <w:vAlign w:val="center"/>
            <w:hideMark/>
          </w:tcPr>
          <w:p w14:paraId="5B4E7678"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w:t>
            </w:r>
          </w:p>
        </w:tc>
        <w:tc>
          <w:tcPr>
            <w:tcW w:w="1111" w:type="dxa"/>
            <w:tcBorders>
              <w:top w:val="nil"/>
              <w:left w:val="nil"/>
              <w:bottom w:val="nil"/>
              <w:right w:val="nil"/>
            </w:tcBorders>
            <w:shd w:val="clear" w:color="000000" w:fill="FFFFFF"/>
            <w:vAlign w:val="center"/>
            <w:hideMark/>
          </w:tcPr>
          <w:p w14:paraId="6C23AD83"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249,632</w:t>
            </w:r>
          </w:p>
        </w:tc>
        <w:tc>
          <w:tcPr>
            <w:tcW w:w="1202" w:type="dxa"/>
            <w:tcBorders>
              <w:top w:val="nil"/>
              <w:left w:val="nil"/>
              <w:bottom w:val="nil"/>
              <w:right w:val="single" w:sz="18" w:space="0" w:color="auto"/>
            </w:tcBorders>
            <w:shd w:val="clear" w:color="000000" w:fill="FFFFFF"/>
            <w:vAlign w:val="center"/>
            <w:hideMark/>
          </w:tcPr>
          <w:p w14:paraId="2FC46537"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xml:space="preserve">$680,283 </w:t>
            </w:r>
          </w:p>
        </w:tc>
      </w:tr>
      <w:tr w:rsidR="00482FC4" w:rsidRPr="005C1F85" w14:paraId="7400F248" w14:textId="77777777" w:rsidTr="00EC4096">
        <w:trPr>
          <w:trHeight w:val="297"/>
        </w:trPr>
        <w:tc>
          <w:tcPr>
            <w:tcW w:w="473" w:type="dxa"/>
            <w:vMerge/>
            <w:tcBorders>
              <w:top w:val="nil"/>
              <w:left w:val="single" w:sz="18" w:space="0" w:color="auto"/>
              <w:bottom w:val="single" w:sz="8" w:space="0" w:color="000000"/>
              <w:right w:val="single" w:sz="8" w:space="0" w:color="auto"/>
            </w:tcBorders>
            <w:vAlign w:val="center"/>
            <w:hideMark/>
          </w:tcPr>
          <w:p w14:paraId="6B01949E" w14:textId="77777777" w:rsidR="00482FC4" w:rsidRPr="005C1F85" w:rsidRDefault="00482FC4" w:rsidP="00344AF5">
            <w:pPr>
              <w:spacing w:after="0" w:line="240" w:lineRule="auto"/>
              <w:rPr>
                <w:rFonts w:eastAsia="Times New Roman" w:cs="Calibri"/>
                <w:sz w:val="20"/>
                <w:szCs w:val="20"/>
              </w:rPr>
            </w:pPr>
          </w:p>
        </w:tc>
        <w:tc>
          <w:tcPr>
            <w:tcW w:w="2050" w:type="dxa"/>
            <w:tcBorders>
              <w:top w:val="nil"/>
              <w:left w:val="nil"/>
              <w:bottom w:val="nil"/>
              <w:right w:val="nil"/>
            </w:tcBorders>
            <w:shd w:val="clear" w:color="000000" w:fill="FFFFFF"/>
            <w:vAlign w:val="center"/>
            <w:hideMark/>
          </w:tcPr>
          <w:p w14:paraId="36AF690F"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Forecast</w:t>
            </w:r>
          </w:p>
        </w:tc>
        <w:tc>
          <w:tcPr>
            <w:tcW w:w="634" w:type="dxa"/>
            <w:tcBorders>
              <w:top w:val="nil"/>
              <w:left w:val="nil"/>
              <w:bottom w:val="nil"/>
              <w:right w:val="nil"/>
            </w:tcBorders>
            <w:shd w:val="clear" w:color="000000" w:fill="FFFFFF"/>
            <w:vAlign w:val="center"/>
            <w:hideMark/>
          </w:tcPr>
          <w:p w14:paraId="025E4170"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w:t>
            </w:r>
          </w:p>
        </w:tc>
        <w:tc>
          <w:tcPr>
            <w:tcW w:w="1111" w:type="dxa"/>
            <w:tcBorders>
              <w:top w:val="nil"/>
              <w:left w:val="nil"/>
              <w:bottom w:val="nil"/>
              <w:right w:val="nil"/>
            </w:tcBorders>
            <w:shd w:val="clear" w:color="000000" w:fill="FFFFFF"/>
            <w:vAlign w:val="center"/>
            <w:hideMark/>
          </w:tcPr>
          <w:p w14:paraId="7501291F"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216,528</w:t>
            </w:r>
          </w:p>
        </w:tc>
        <w:tc>
          <w:tcPr>
            <w:tcW w:w="1200" w:type="dxa"/>
            <w:tcBorders>
              <w:top w:val="nil"/>
              <w:left w:val="nil"/>
              <w:bottom w:val="nil"/>
              <w:right w:val="nil"/>
            </w:tcBorders>
            <w:shd w:val="clear" w:color="000000" w:fill="FFFFFF"/>
            <w:vAlign w:val="center"/>
            <w:hideMark/>
          </w:tcPr>
          <w:p w14:paraId="48937663"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xml:space="preserve">$925,250 </w:t>
            </w:r>
          </w:p>
        </w:tc>
        <w:tc>
          <w:tcPr>
            <w:tcW w:w="634" w:type="dxa"/>
            <w:tcBorders>
              <w:top w:val="nil"/>
              <w:left w:val="nil"/>
              <w:bottom w:val="nil"/>
              <w:right w:val="nil"/>
            </w:tcBorders>
            <w:shd w:val="clear" w:color="000000" w:fill="FFFFFF"/>
            <w:vAlign w:val="center"/>
            <w:hideMark/>
          </w:tcPr>
          <w:p w14:paraId="5C318290"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w:t>
            </w:r>
          </w:p>
        </w:tc>
        <w:tc>
          <w:tcPr>
            <w:tcW w:w="1111" w:type="dxa"/>
            <w:tcBorders>
              <w:top w:val="nil"/>
              <w:left w:val="nil"/>
              <w:bottom w:val="nil"/>
              <w:right w:val="nil"/>
            </w:tcBorders>
            <w:shd w:val="clear" w:color="000000" w:fill="FFFFFF"/>
            <w:vAlign w:val="center"/>
            <w:hideMark/>
          </w:tcPr>
          <w:p w14:paraId="726ABCE7"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218,825</w:t>
            </w:r>
          </w:p>
        </w:tc>
        <w:tc>
          <w:tcPr>
            <w:tcW w:w="1202" w:type="dxa"/>
            <w:tcBorders>
              <w:top w:val="nil"/>
              <w:left w:val="nil"/>
              <w:bottom w:val="nil"/>
              <w:right w:val="single" w:sz="18" w:space="0" w:color="auto"/>
            </w:tcBorders>
            <w:shd w:val="clear" w:color="000000" w:fill="FFFFFF"/>
            <w:vAlign w:val="center"/>
            <w:hideMark/>
          </w:tcPr>
          <w:p w14:paraId="03DDEE05"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xml:space="preserve">$856,650 </w:t>
            </w:r>
          </w:p>
        </w:tc>
      </w:tr>
      <w:tr w:rsidR="00482FC4" w:rsidRPr="005C1F85" w14:paraId="29DF74F1" w14:textId="77777777" w:rsidTr="00EC4096">
        <w:trPr>
          <w:trHeight w:val="297"/>
        </w:trPr>
        <w:tc>
          <w:tcPr>
            <w:tcW w:w="473" w:type="dxa"/>
            <w:vMerge/>
            <w:tcBorders>
              <w:top w:val="nil"/>
              <w:left w:val="single" w:sz="18" w:space="0" w:color="auto"/>
              <w:bottom w:val="single" w:sz="8" w:space="0" w:color="000000"/>
              <w:right w:val="single" w:sz="8" w:space="0" w:color="auto"/>
            </w:tcBorders>
            <w:vAlign w:val="center"/>
            <w:hideMark/>
          </w:tcPr>
          <w:p w14:paraId="635BA466" w14:textId="77777777" w:rsidR="00482FC4" w:rsidRPr="005C1F85" w:rsidRDefault="00482FC4" w:rsidP="00344AF5">
            <w:pPr>
              <w:spacing w:after="0" w:line="240" w:lineRule="auto"/>
              <w:rPr>
                <w:rFonts w:eastAsia="Times New Roman" w:cs="Calibri"/>
                <w:sz w:val="20"/>
                <w:szCs w:val="20"/>
              </w:rPr>
            </w:pPr>
          </w:p>
        </w:tc>
        <w:tc>
          <w:tcPr>
            <w:tcW w:w="2050" w:type="dxa"/>
            <w:tcBorders>
              <w:top w:val="nil"/>
              <w:left w:val="nil"/>
              <w:bottom w:val="nil"/>
              <w:right w:val="nil"/>
            </w:tcBorders>
            <w:shd w:val="clear" w:color="000000" w:fill="FFFFFF"/>
            <w:vAlign w:val="center"/>
            <w:hideMark/>
          </w:tcPr>
          <w:p w14:paraId="4DBEBACA"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Pre + Forecast + YTD</w:t>
            </w:r>
          </w:p>
        </w:tc>
        <w:tc>
          <w:tcPr>
            <w:tcW w:w="634" w:type="dxa"/>
            <w:tcBorders>
              <w:top w:val="nil"/>
              <w:left w:val="nil"/>
              <w:bottom w:val="nil"/>
              <w:right w:val="nil"/>
            </w:tcBorders>
            <w:shd w:val="clear" w:color="000000" w:fill="FFFFFF"/>
            <w:vAlign w:val="center"/>
            <w:hideMark/>
          </w:tcPr>
          <w:p w14:paraId="2910BA24"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 </w:t>
            </w:r>
          </w:p>
        </w:tc>
        <w:tc>
          <w:tcPr>
            <w:tcW w:w="1111" w:type="dxa"/>
            <w:tcBorders>
              <w:top w:val="nil"/>
              <w:left w:val="nil"/>
              <w:bottom w:val="nil"/>
              <w:right w:val="nil"/>
            </w:tcBorders>
            <w:shd w:val="clear" w:color="000000" w:fill="FFFFFF"/>
            <w:vAlign w:val="center"/>
            <w:hideMark/>
          </w:tcPr>
          <w:p w14:paraId="01C1B9FE"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272,850</w:t>
            </w:r>
          </w:p>
        </w:tc>
        <w:tc>
          <w:tcPr>
            <w:tcW w:w="1200" w:type="dxa"/>
            <w:tcBorders>
              <w:top w:val="nil"/>
              <w:left w:val="nil"/>
              <w:bottom w:val="nil"/>
              <w:right w:val="nil"/>
            </w:tcBorders>
            <w:shd w:val="clear" w:color="000000" w:fill="FFFFFF"/>
            <w:vAlign w:val="center"/>
            <w:hideMark/>
          </w:tcPr>
          <w:p w14:paraId="0009009F"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 xml:space="preserve">$1,144,960 </w:t>
            </w:r>
          </w:p>
        </w:tc>
        <w:tc>
          <w:tcPr>
            <w:tcW w:w="634" w:type="dxa"/>
            <w:tcBorders>
              <w:top w:val="nil"/>
              <w:left w:val="nil"/>
              <w:bottom w:val="nil"/>
              <w:right w:val="nil"/>
            </w:tcBorders>
            <w:shd w:val="clear" w:color="000000" w:fill="FFFFFF"/>
            <w:vAlign w:val="center"/>
            <w:hideMark/>
          </w:tcPr>
          <w:p w14:paraId="746981D8"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 </w:t>
            </w:r>
          </w:p>
        </w:tc>
        <w:tc>
          <w:tcPr>
            <w:tcW w:w="1111" w:type="dxa"/>
            <w:tcBorders>
              <w:top w:val="nil"/>
              <w:left w:val="nil"/>
              <w:bottom w:val="nil"/>
              <w:right w:val="nil"/>
            </w:tcBorders>
            <w:shd w:val="clear" w:color="000000" w:fill="FFFFFF"/>
            <w:vAlign w:val="center"/>
            <w:hideMark/>
          </w:tcPr>
          <w:p w14:paraId="0EA72125"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516,619</w:t>
            </w:r>
          </w:p>
        </w:tc>
        <w:tc>
          <w:tcPr>
            <w:tcW w:w="1202" w:type="dxa"/>
            <w:tcBorders>
              <w:top w:val="nil"/>
              <w:left w:val="nil"/>
              <w:bottom w:val="nil"/>
              <w:right w:val="single" w:sz="18" w:space="0" w:color="auto"/>
            </w:tcBorders>
            <w:shd w:val="clear" w:color="000000" w:fill="FFFFFF"/>
            <w:vAlign w:val="center"/>
            <w:hideMark/>
          </w:tcPr>
          <w:p w14:paraId="3CAF3DB7"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 xml:space="preserve">$1,727,409 </w:t>
            </w:r>
          </w:p>
        </w:tc>
      </w:tr>
      <w:tr w:rsidR="00482FC4" w:rsidRPr="005C1F85" w14:paraId="53BB475F" w14:textId="77777777" w:rsidTr="00EC4096">
        <w:trPr>
          <w:trHeight w:val="297"/>
        </w:trPr>
        <w:tc>
          <w:tcPr>
            <w:tcW w:w="473" w:type="dxa"/>
            <w:vMerge/>
            <w:tcBorders>
              <w:top w:val="nil"/>
              <w:left w:val="single" w:sz="18" w:space="0" w:color="auto"/>
              <w:bottom w:val="single" w:sz="8" w:space="0" w:color="000000"/>
              <w:right w:val="single" w:sz="8" w:space="0" w:color="auto"/>
            </w:tcBorders>
            <w:vAlign w:val="center"/>
            <w:hideMark/>
          </w:tcPr>
          <w:p w14:paraId="7C9604C2" w14:textId="77777777" w:rsidR="00482FC4" w:rsidRPr="005C1F85" w:rsidRDefault="00482FC4" w:rsidP="00344AF5">
            <w:pPr>
              <w:spacing w:after="0" w:line="240" w:lineRule="auto"/>
              <w:rPr>
                <w:rFonts w:eastAsia="Times New Roman" w:cs="Calibri"/>
                <w:sz w:val="20"/>
                <w:szCs w:val="20"/>
              </w:rPr>
            </w:pPr>
          </w:p>
        </w:tc>
        <w:tc>
          <w:tcPr>
            <w:tcW w:w="2050" w:type="dxa"/>
            <w:tcBorders>
              <w:top w:val="nil"/>
              <w:left w:val="nil"/>
              <w:bottom w:val="nil"/>
              <w:right w:val="nil"/>
            </w:tcBorders>
            <w:shd w:val="clear" w:color="000000" w:fill="FFFFFF"/>
            <w:vAlign w:val="center"/>
            <w:hideMark/>
          </w:tcPr>
          <w:p w14:paraId="2241840F"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Goal</w:t>
            </w:r>
          </w:p>
        </w:tc>
        <w:tc>
          <w:tcPr>
            <w:tcW w:w="634" w:type="dxa"/>
            <w:tcBorders>
              <w:top w:val="nil"/>
              <w:left w:val="nil"/>
              <w:bottom w:val="nil"/>
              <w:right w:val="nil"/>
            </w:tcBorders>
            <w:shd w:val="clear" w:color="000000" w:fill="FFFFFF"/>
            <w:vAlign w:val="center"/>
            <w:hideMark/>
          </w:tcPr>
          <w:p w14:paraId="4673F769"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w:t>
            </w:r>
          </w:p>
        </w:tc>
        <w:tc>
          <w:tcPr>
            <w:tcW w:w="1111" w:type="dxa"/>
            <w:tcBorders>
              <w:top w:val="nil"/>
              <w:left w:val="nil"/>
              <w:bottom w:val="nil"/>
              <w:right w:val="nil"/>
            </w:tcBorders>
            <w:shd w:val="clear" w:color="000000" w:fill="FFFFFF"/>
            <w:vAlign w:val="center"/>
            <w:hideMark/>
          </w:tcPr>
          <w:p w14:paraId="69E74751"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387,824</w:t>
            </w:r>
          </w:p>
        </w:tc>
        <w:tc>
          <w:tcPr>
            <w:tcW w:w="1200" w:type="dxa"/>
            <w:tcBorders>
              <w:top w:val="nil"/>
              <w:left w:val="nil"/>
              <w:bottom w:val="nil"/>
              <w:right w:val="nil"/>
            </w:tcBorders>
            <w:shd w:val="clear" w:color="000000" w:fill="FFFFFF"/>
            <w:vAlign w:val="center"/>
            <w:hideMark/>
          </w:tcPr>
          <w:p w14:paraId="68A7D5E6"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w:t>
            </w:r>
          </w:p>
        </w:tc>
        <w:tc>
          <w:tcPr>
            <w:tcW w:w="634" w:type="dxa"/>
            <w:tcBorders>
              <w:top w:val="nil"/>
              <w:left w:val="nil"/>
              <w:bottom w:val="nil"/>
              <w:right w:val="nil"/>
            </w:tcBorders>
            <w:shd w:val="clear" w:color="000000" w:fill="FFFFFF"/>
            <w:vAlign w:val="center"/>
            <w:hideMark/>
          </w:tcPr>
          <w:p w14:paraId="09C5D2D7"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w:t>
            </w:r>
          </w:p>
        </w:tc>
        <w:tc>
          <w:tcPr>
            <w:tcW w:w="1111" w:type="dxa"/>
            <w:tcBorders>
              <w:top w:val="nil"/>
              <w:left w:val="nil"/>
              <w:bottom w:val="nil"/>
              <w:right w:val="nil"/>
            </w:tcBorders>
            <w:shd w:val="clear" w:color="000000" w:fill="FFFFFF"/>
            <w:vAlign w:val="center"/>
            <w:hideMark/>
          </w:tcPr>
          <w:p w14:paraId="0536465E"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578,483</w:t>
            </w:r>
          </w:p>
        </w:tc>
        <w:tc>
          <w:tcPr>
            <w:tcW w:w="1202" w:type="dxa"/>
            <w:tcBorders>
              <w:top w:val="nil"/>
              <w:left w:val="nil"/>
              <w:bottom w:val="nil"/>
              <w:right w:val="single" w:sz="18" w:space="0" w:color="auto"/>
            </w:tcBorders>
            <w:shd w:val="clear" w:color="000000" w:fill="FFFFFF"/>
            <w:noWrap/>
            <w:vAlign w:val="bottom"/>
            <w:hideMark/>
          </w:tcPr>
          <w:p w14:paraId="0E3649D6" w14:textId="77777777" w:rsidR="00482FC4" w:rsidRPr="005C1F85" w:rsidRDefault="00482FC4" w:rsidP="00344AF5">
            <w:pPr>
              <w:spacing w:after="0" w:line="240" w:lineRule="auto"/>
              <w:jc w:val="center"/>
              <w:rPr>
                <w:rFonts w:eastAsia="Times New Roman" w:cs="Calibri"/>
                <w:sz w:val="20"/>
                <w:szCs w:val="20"/>
              </w:rPr>
            </w:pPr>
            <w:r w:rsidRPr="005C1F85">
              <w:rPr>
                <w:rFonts w:eastAsia="Times New Roman" w:cs="Calibri"/>
                <w:sz w:val="20"/>
                <w:szCs w:val="20"/>
              </w:rPr>
              <w:t> </w:t>
            </w:r>
          </w:p>
        </w:tc>
      </w:tr>
      <w:tr w:rsidR="00482FC4" w:rsidRPr="005C1F85" w14:paraId="5BCF9E3F" w14:textId="77777777" w:rsidTr="00EC4096">
        <w:trPr>
          <w:trHeight w:val="297"/>
        </w:trPr>
        <w:tc>
          <w:tcPr>
            <w:tcW w:w="473" w:type="dxa"/>
            <w:vMerge/>
            <w:tcBorders>
              <w:top w:val="nil"/>
              <w:left w:val="single" w:sz="18" w:space="0" w:color="auto"/>
              <w:bottom w:val="single" w:sz="18" w:space="0" w:color="auto"/>
              <w:right w:val="single" w:sz="8" w:space="0" w:color="auto"/>
            </w:tcBorders>
            <w:vAlign w:val="center"/>
            <w:hideMark/>
          </w:tcPr>
          <w:p w14:paraId="52ADDCEE" w14:textId="77777777" w:rsidR="00482FC4" w:rsidRPr="005C1F85" w:rsidRDefault="00482FC4" w:rsidP="00344AF5">
            <w:pPr>
              <w:spacing w:after="0" w:line="240" w:lineRule="auto"/>
              <w:rPr>
                <w:rFonts w:eastAsia="Times New Roman" w:cs="Calibri"/>
                <w:sz w:val="20"/>
                <w:szCs w:val="20"/>
              </w:rPr>
            </w:pPr>
          </w:p>
        </w:tc>
        <w:tc>
          <w:tcPr>
            <w:tcW w:w="2050" w:type="dxa"/>
            <w:tcBorders>
              <w:top w:val="nil"/>
              <w:left w:val="nil"/>
              <w:bottom w:val="single" w:sz="18" w:space="0" w:color="auto"/>
              <w:right w:val="nil"/>
            </w:tcBorders>
            <w:shd w:val="clear" w:color="000000" w:fill="FFFFFF"/>
            <w:vAlign w:val="center"/>
            <w:hideMark/>
          </w:tcPr>
          <w:p w14:paraId="730172FF"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 to Goal</w:t>
            </w:r>
          </w:p>
        </w:tc>
        <w:tc>
          <w:tcPr>
            <w:tcW w:w="634" w:type="dxa"/>
            <w:tcBorders>
              <w:top w:val="nil"/>
              <w:left w:val="nil"/>
              <w:bottom w:val="single" w:sz="18" w:space="0" w:color="auto"/>
              <w:right w:val="nil"/>
            </w:tcBorders>
            <w:shd w:val="clear" w:color="000000" w:fill="FFFFFF"/>
            <w:vAlign w:val="center"/>
            <w:hideMark/>
          </w:tcPr>
          <w:p w14:paraId="19A586FE"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 </w:t>
            </w:r>
          </w:p>
        </w:tc>
        <w:tc>
          <w:tcPr>
            <w:tcW w:w="1111" w:type="dxa"/>
            <w:tcBorders>
              <w:top w:val="nil"/>
              <w:left w:val="nil"/>
              <w:bottom w:val="single" w:sz="18" w:space="0" w:color="auto"/>
              <w:right w:val="nil"/>
            </w:tcBorders>
            <w:shd w:val="clear" w:color="000000" w:fill="FFFFFF"/>
            <w:vAlign w:val="center"/>
            <w:hideMark/>
          </w:tcPr>
          <w:p w14:paraId="7E38768B"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70%</w:t>
            </w:r>
          </w:p>
        </w:tc>
        <w:tc>
          <w:tcPr>
            <w:tcW w:w="1200" w:type="dxa"/>
            <w:tcBorders>
              <w:top w:val="nil"/>
              <w:left w:val="nil"/>
              <w:bottom w:val="single" w:sz="18" w:space="0" w:color="auto"/>
              <w:right w:val="nil"/>
            </w:tcBorders>
            <w:shd w:val="clear" w:color="000000" w:fill="FFFFFF"/>
            <w:vAlign w:val="center"/>
            <w:hideMark/>
          </w:tcPr>
          <w:p w14:paraId="57289C25"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 </w:t>
            </w:r>
          </w:p>
        </w:tc>
        <w:tc>
          <w:tcPr>
            <w:tcW w:w="634" w:type="dxa"/>
            <w:tcBorders>
              <w:top w:val="nil"/>
              <w:left w:val="nil"/>
              <w:bottom w:val="single" w:sz="18" w:space="0" w:color="auto"/>
              <w:right w:val="nil"/>
            </w:tcBorders>
            <w:shd w:val="clear" w:color="000000" w:fill="FFFFFF"/>
            <w:vAlign w:val="center"/>
            <w:hideMark/>
          </w:tcPr>
          <w:p w14:paraId="4BFB15C7"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 </w:t>
            </w:r>
          </w:p>
        </w:tc>
        <w:tc>
          <w:tcPr>
            <w:tcW w:w="1111" w:type="dxa"/>
            <w:tcBorders>
              <w:top w:val="nil"/>
              <w:left w:val="nil"/>
              <w:bottom w:val="single" w:sz="18" w:space="0" w:color="auto"/>
              <w:right w:val="nil"/>
            </w:tcBorders>
            <w:shd w:val="clear" w:color="000000" w:fill="FFFFFF"/>
            <w:vAlign w:val="center"/>
            <w:hideMark/>
          </w:tcPr>
          <w:p w14:paraId="7A7F4111"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89%</w:t>
            </w:r>
          </w:p>
        </w:tc>
        <w:tc>
          <w:tcPr>
            <w:tcW w:w="1202" w:type="dxa"/>
            <w:tcBorders>
              <w:top w:val="nil"/>
              <w:left w:val="nil"/>
              <w:bottom w:val="single" w:sz="18" w:space="0" w:color="auto"/>
              <w:right w:val="single" w:sz="18" w:space="0" w:color="auto"/>
            </w:tcBorders>
            <w:shd w:val="clear" w:color="000000" w:fill="FFFFFF"/>
            <w:vAlign w:val="center"/>
            <w:hideMark/>
          </w:tcPr>
          <w:p w14:paraId="7EF017D7" w14:textId="77777777" w:rsidR="00482FC4" w:rsidRPr="005C1F85" w:rsidRDefault="00482FC4" w:rsidP="00344AF5">
            <w:pPr>
              <w:spacing w:after="0" w:line="240" w:lineRule="auto"/>
              <w:jc w:val="center"/>
              <w:rPr>
                <w:rFonts w:eastAsia="Times New Roman" w:cs="Calibri"/>
                <w:b/>
                <w:bCs/>
                <w:sz w:val="20"/>
                <w:szCs w:val="20"/>
              </w:rPr>
            </w:pPr>
            <w:r w:rsidRPr="005C1F85">
              <w:rPr>
                <w:rFonts w:eastAsia="Times New Roman" w:cs="Calibri"/>
                <w:b/>
                <w:bCs/>
                <w:sz w:val="20"/>
                <w:szCs w:val="20"/>
              </w:rPr>
              <w:t> </w:t>
            </w:r>
          </w:p>
        </w:tc>
      </w:tr>
    </w:tbl>
    <w:p w14:paraId="3011C5EC" w14:textId="77777777" w:rsidR="00482FC4" w:rsidRPr="00482FC4" w:rsidRDefault="00482FC4" w:rsidP="00482FC4"/>
    <w:p w14:paraId="0D4AC3F3" w14:textId="0A233F48" w:rsidR="008D6B1E" w:rsidRPr="000413CD" w:rsidRDefault="008D6B1E" w:rsidP="008D6B1E">
      <w:pPr>
        <w:pStyle w:val="Heading5"/>
        <w:ind w:left="1080"/>
        <w:rPr>
          <w:u w:val="single"/>
        </w:rPr>
      </w:pPr>
      <w:r>
        <w:t xml:space="preserve">Commercial/Industrial Therms Achieved </w:t>
      </w:r>
    </w:p>
    <w:p w14:paraId="4EEAB937" w14:textId="1A12E6BB" w:rsidR="008D6B1E" w:rsidRDefault="00EC4096" w:rsidP="00EC4096">
      <w:pPr>
        <w:tabs>
          <w:tab w:val="left" w:pos="3435"/>
        </w:tabs>
        <w:ind w:left="1440"/>
      </w:pPr>
      <w:r>
        <w:drawing>
          <wp:inline distT="0" distB="0" distL="0" distR="0" wp14:anchorId="622A5CFD" wp14:editId="7D8C4372">
            <wp:extent cx="5305425" cy="1981200"/>
            <wp:effectExtent l="0" t="0" r="9525" b="0"/>
            <wp:docPr id="18" name="Chart 18">
              <a:extLst xmlns:a="http://schemas.openxmlformats.org/drawingml/2006/main">
                <a:ext uri="{FF2B5EF4-FFF2-40B4-BE49-F238E27FC236}">
                  <a16:creationId xmlns:a16="http://schemas.microsoft.com/office/drawing/2014/main" id="{00000000-0008-0000-0C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tab/>
      </w:r>
    </w:p>
    <w:p w14:paraId="0A7F2EAE" w14:textId="1A3842EC" w:rsidR="008D6B1E" w:rsidRDefault="008D6B1E" w:rsidP="008D6B1E">
      <w:pPr>
        <w:pStyle w:val="Heading5"/>
        <w:ind w:left="1080"/>
      </w:pPr>
      <w:r>
        <w:t xml:space="preserve">Commercial/Industrial Therms </w:t>
      </w:r>
      <w:r w:rsidR="00250465">
        <w:t xml:space="preserve">Goal: </w:t>
      </w:r>
      <w:r w:rsidR="00EC4096">
        <w:t>578,483</w:t>
      </w:r>
    </w:p>
    <w:p w14:paraId="3BBE0BD8" w14:textId="58B2602C" w:rsidR="008D6B1E" w:rsidRPr="008D6B1E" w:rsidRDefault="00EC4096" w:rsidP="00F158A2">
      <w:pPr>
        <w:ind w:left="1440"/>
      </w:pPr>
      <w:r>
        <w:drawing>
          <wp:inline distT="0" distB="0" distL="0" distR="0" wp14:anchorId="4E205EB6" wp14:editId="3D6C6734">
            <wp:extent cx="5372100" cy="666750"/>
            <wp:effectExtent l="0" t="0" r="0" b="0"/>
            <wp:docPr id="23" name="Chart 23">
              <a:extLst xmlns:a="http://schemas.openxmlformats.org/drawingml/2006/main">
                <a:ext uri="{FF2B5EF4-FFF2-40B4-BE49-F238E27FC236}">
                  <a16:creationId xmlns:a16="http://schemas.microsoft.com/office/drawing/2014/main" id="{00000000-0008-0000-0C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C63E525" w14:textId="1FF625C1" w:rsidR="008D6B1E" w:rsidRDefault="008D6B1E" w:rsidP="008D6B1E">
      <w:pPr>
        <w:pStyle w:val="Heading5"/>
        <w:ind w:left="1080"/>
      </w:pPr>
      <w:r>
        <w:lastRenderedPageBreak/>
        <w:t>Commercial/Industrial Therms by Measure Type</w:t>
      </w:r>
    </w:p>
    <w:p w14:paraId="2AE88258" w14:textId="48FA61C5" w:rsidR="00FD3991" w:rsidRDefault="00EC4096" w:rsidP="000413CD">
      <w:pPr>
        <w:spacing w:after="0" w:line="240" w:lineRule="auto"/>
        <w:ind w:left="1440"/>
        <w:rPr>
          <w:rFonts w:ascii="Arial" w:eastAsia="Calibri" w:hAnsi="Arial" w:cs="Times New Roman"/>
          <w:color w:val="002060"/>
        </w:rPr>
      </w:pPr>
      <w:r>
        <w:drawing>
          <wp:inline distT="0" distB="0" distL="0" distR="0" wp14:anchorId="48858E78" wp14:editId="30A58579">
            <wp:extent cx="5391150" cy="1752600"/>
            <wp:effectExtent l="0" t="0" r="0" b="0"/>
            <wp:docPr id="27" name="Chart 27">
              <a:extLst xmlns:a="http://schemas.openxmlformats.org/drawingml/2006/main">
                <a:ext uri="{FF2B5EF4-FFF2-40B4-BE49-F238E27FC236}">
                  <a16:creationId xmlns:a16="http://schemas.microsoft.com/office/drawing/2014/main"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66BB5D2" w14:textId="053C7DD5" w:rsidR="00A63C9D" w:rsidRDefault="00357876" w:rsidP="00357876">
      <w:pPr>
        <w:pStyle w:val="Heading4"/>
        <w:ind w:left="720"/>
      </w:pPr>
      <w:r>
        <w:t xml:space="preserve"> Residential Program </w:t>
      </w:r>
      <w:r w:rsidR="00E93D99">
        <w:t xml:space="preserve">Highlights and </w:t>
      </w:r>
      <w:r>
        <w:t xml:space="preserve">Activity </w:t>
      </w:r>
      <w:r w:rsidR="00DB0367">
        <w:t>through December 2020</w:t>
      </w:r>
    </w:p>
    <w:p w14:paraId="074F6DFA" w14:textId="34FF55A5" w:rsidR="00EC4096" w:rsidRDefault="00EC4096" w:rsidP="00BA25AA">
      <w:pPr>
        <w:pStyle w:val="ListParagraph"/>
        <w:numPr>
          <w:ilvl w:val="0"/>
          <w:numId w:val="16"/>
        </w:numPr>
        <w:spacing w:after="0" w:line="240" w:lineRule="auto"/>
      </w:pPr>
      <w:r>
        <w:t xml:space="preserve">Cascade’s Residential program had a strong Q1 performance </w:t>
      </w:r>
      <w:r w:rsidR="004B6A43">
        <w:t>from</w:t>
      </w:r>
      <w:r>
        <w:t xml:space="preserve"> processing a large queue </w:t>
      </w:r>
      <w:r w:rsidR="004B6A43">
        <w:t xml:space="preserve">developed during </w:t>
      </w:r>
      <w:r>
        <w:t xml:space="preserve">the winter season.  The program intake also remained strong throughout March, setting the </w:t>
      </w:r>
      <w:r w:rsidR="004B6A43">
        <w:t>groundwork</w:t>
      </w:r>
      <w:r>
        <w:t xml:space="preserve"> for the program to reach residential goals significantly higher than was set for 2020</w:t>
      </w:r>
      <w:r w:rsidR="004B6A43">
        <w:t>,</w:t>
      </w:r>
      <w:r>
        <w:t xml:space="preserve"> </w:t>
      </w:r>
      <w:r w:rsidR="004B6A43">
        <w:t>and then</w:t>
      </w:r>
      <w:r>
        <w:t xml:space="preserve"> those achieved in 2021.</w:t>
      </w:r>
    </w:p>
    <w:p w14:paraId="08227ED9" w14:textId="1F704C59" w:rsidR="00B4271E" w:rsidRDefault="009C7020" w:rsidP="00BA25AA">
      <w:pPr>
        <w:pStyle w:val="ListParagraph"/>
        <w:numPr>
          <w:ilvl w:val="0"/>
          <w:numId w:val="16"/>
        </w:numPr>
        <w:spacing w:after="0" w:line="240" w:lineRule="auto"/>
      </w:pPr>
      <w:r>
        <w:t xml:space="preserve">The program saved approximately </w:t>
      </w:r>
      <w:r w:rsidR="00EC4096">
        <w:t>147,253</w:t>
      </w:r>
      <w:r>
        <w:t xml:space="preserve"> therms</w:t>
      </w:r>
      <w:r w:rsidR="00EC4096">
        <w:t xml:space="preserve"> in the first Quarter of 2021, and </w:t>
      </w:r>
      <w:r w:rsidR="00877D81">
        <w:t>maintains a robust queue of projects yet to be paid</w:t>
      </w:r>
    </w:p>
    <w:p w14:paraId="06129BF4" w14:textId="7C32E961" w:rsidR="00B4271E" w:rsidRPr="00B4271E" w:rsidRDefault="00B4271E" w:rsidP="00877D81">
      <w:pPr>
        <w:pStyle w:val="ListParagraph"/>
        <w:numPr>
          <w:ilvl w:val="1"/>
          <w:numId w:val="16"/>
        </w:numPr>
        <w:spacing w:after="0" w:line="240" w:lineRule="auto"/>
        <w:rPr>
          <w:i/>
          <w:iCs/>
        </w:rPr>
      </w:pPr>
      <w:r>
        <w:t xml:space="preserve">The residential queue moving into </w:t>
      </w:r>
      <w:r w:rsidR="00877D81">
        <w:t>Q2</w:t>
      </w:r>
      <w:r>
        <w:t xml:space="preserve"> sits at </w:t>
      </w:r>
      <w:r w:rsidR="009C7020">
        <w:t xml:space="preserve">approximately </w:t>
      </w:r>
      <w:r w:rsidR="00877D81">
        <w:t xml:space="preserve">66,126 </w:t>
      </w:r>
      <w:r w:rsidR="009C7020">
        <w:t>therms</w:t>
      </w:r>
      <w:r>
        <w:t xml:space="preserve"> – which is calculated by multiplying the number of residential applications by the average therms per application year to date (</w:t>
      </w:r>
      <w:r w:rsidR="004B6A43">
        <w:t>113.5</w:t>
      </w:r>
      <w:r>
        <w:t xml:space="preserve">). </w:t>
      </w:r>
      <w:r w:rsidRPr="00B4271E">
        <w:rPr>
          <w:i/>
          <w:iCs/>
        </w:rPr>
        <w:t>Note - this queue does not include builder applications</w:t>
      </w:r>
    </w:p>
    <w:p w14:paraId="270891C3" w14:textId="5EE18B8C" w:rsidR="00026F50" w:rsidRPr="00026F50" w:rsidRDefault="004B6A43" w:rsidP="004B6A43">
      <w:pPr>
        <w:pStyle w:val="ListParagraph"/>
        <w:numPr>
          <w:ilvl w:val="0"/>
          <w:numId w:val="16"/>
        </w:numPr>
        <w:spacing w:line="240" w:lineRule="auto"/>
      </w:pPr>
      <w:r>
        <w:t xml:space="preserve">The first quarter averaged 68% more applications received than the 3-year average. When the residential queue and builder queue are included with the therms achieved the residential program has identified 45% of it’s 2021 goal. </w:t>
      </w:r>
    </w:p>
    <w:p w14:paraId="42D6E84F" w14:textId="68AD0EA7" w:rsidR="00250465" w:rsidRDefault="00250465" w:rsidP="00250465">
      <w:pPr>
        <w:pStyle w:val="Heading5"/>
        <w:ind w:left="1080"/>
      </w:pPr>
      <w:r>
        <w:t>Residential Program Total &amp; Comparison to Prior Year</w:t>
      </w:r>
    </w:p>
    <w:tbl>
      <w:tblPr>
        <w:tblW w:w="8620" w:type="dxa"/>
        <w:tblInd w:w="1332" w:type="dxa"/>
        <w:tblLook w:val="04A0" w:firstRow="1" w:lastRow="0" w:firstColumn="1" w:lastColumn="0" w:noHBand="0" w:noVBand="1"/>
      </w:tblPr>
      <w:tblGrid>
        <w:gridCol w:w="435"/>
        <w:gridCol w:w="2421"/>
        <w:gridCol w:w="1381"/>
        <w:gridCol w:w="1449"/>
        <w:gridCol w:w="1568"/>
        <w:gridCol w:w="1366"/>
      </w:tblGrid>
      <w:tr w:rsidR="004B6A43" w:rsidRPr="004B6A43" w14:paraId="36C39915" w14:textId="77777777" w:rsidTr="004B6A43">
        <w:trPr>
          <w:trHeight w:val="186"/>
        </w:trPr>
        <w:tc>
          <w:tcPr>
            <w:tcW w:w="435" w:type="dxa"/>
            <w:shd w:val="clear" w:color="auto" w:fill="FFFFFF"/>
            <w:noWrap/>
            <w:vAlign w:val="center"/>
            <w:hideMark/>
          </w:tcPr>
          <w:p w14:paraId="3CDC0311" w14:textId="77777777" w:rsidR="004B6A43" w:rsidRPr="004B6A43" w:rsidRDefault="004B6A43" w:rsidP="004B6A43">
            <w:pPr>
              <w:spacing w:after="0" w:line="240" w:lineRule="auto"/>
              <w:ind w:left="720"/>
              <w:rPr>
                <w:rFonts w:ascii="Euphemia" w:eastAsia="Times New Roman" w:hAnsi="Euphemia" w:cs="Times New Roman"/>
                <w:color w:val="595959"/>
                <w:sz w:val="18"/>
                <w:szCs w:val="18"/>
              </w:rPr>
            </w:pPr>
          </w:p>
        </w:tc>
        <w:tc>
          <w:tcPr>
            <w:tcW w:w="2421" w:type="dxa"/>
            <w:shd w:val="clear" w:color="auto" w:fill="006666"/>
            <w:vAlign w:val="center"/>
            <w:hideMark/>
          </w:tcPr>
          <w:p w14:paraId="5F6E7E70" w14:textId="77777777" w:rsidR="004B6A43" w:rsidRPr="004B6A43" w:rsidRDefault="004B6A43" w:rsidP="00344AF5">
            <w:pPr>
              <w:spacing w:after="0" w:line="240" w:lineRule="auto"/>
              <w:jc w:val="center"/>
              <w:rPr>
                <w:rFonts w:ascii="Arial" w:eastAsia="Times New Roman" w:hAnsi="Arial" w:cs="Arial"/>
                <w:color w:val="FFFFFF"/>
                <w:sz w:val="18"/>
                <w:szCs w:val="18"/>
              </w:rPr>
            </w:pPr>
            <w:r w:rsidRPr="004B6A43">
              <w:rPr>
                <w:rFonts w:ascii="Arial" w:hAnsi="Arial" w:cs="Arial"/>
                <w:color w:val="FFFFFF"/>
                <w:sz w:val="18"/>
                <w:szCs w:val="18"/>
              </w:rPr>
              <w:t> </w:t>
            </w:r>
          </w:p>
        </w:tc>
        <w:tc>
          <w:tcPr>
            <w:tcW w:w="1381" w:type="dxa"/>
            <w:shd w:val="clear" w:color="auto" w:fill="006666"/>
            <w:vAlign w:val="center"/>
            <w:hideMark/>
          </w:tcPr>
          <w:p w14:paraId="2CF571AB" w14:textId="77777777" w:rsidR="004B6A43" w:rsidRPr="004B6A43" w:rsidRDefault="004B6A43" w:rsidP="00344AF5">
            <w:pPr>
              <w:spacing w:after="0" w:line="240" w:lineRule="auto"/>
              <w:jc w:val="center"/>
              <w:rPr>
                <w:rFonts w:ascii="Arial" w:eastAsia="Times New Roman" w:hAnsi="Arial" w:cs="Arial"/>
                <w:color w:val="FFFFFF"/>
                <w:sz w:val="18"/>
                <w:szCs w:val="18"/>
              </w:rPr>
            </w:pPr>
            <w:r w:rsidRPr="004B6A43">
              <w:rPr>
                <w:rFonts w:ascii="Arial" w:hAnsi="Arial" w:cs="Arial"/>
                <w:color w:val="FFFFFF"/>
                <w:sz w:val="18"/>
                <w:szCs w:val="18"/>
              </w:rPr>
              <w:t>3-year average Therms</w:t>
            </w:r>
          </w:p>
        </w:tc>
        <w:tc>
          <w:tcPr>
            <w:tcW w:w="1449" w:type="dxa"/>
            <w:shd w:val="clear" w:color="auto" w:fill="006666"/>
            <w:vAlign w:val="center"/>
            <w:hideMark/>
          </w:tcPr>
          <w:p w14:paraId="5F1684EF" w14:textId="77777777" w:rsidR="004B6A43" w:rsidRPr="004B6A43" w:rsidRDefault="004B6A43" w:rsidP="00344AF5">
            <w:pPr>
              <w:spacing w:after="0" w:line="240" w:lineRule="auto"/>
              <w:jc w:val="center"/>
              <w:rPr>
                <w:rFonts w:ascii="Arial" w:eastAsia="Times New Roman" w:hAnsi="Arial" w:cs="Arial"/>
                <w:color w:val="FFFFFF"/>
                <w:sz w:val="18"/>
                <w:szCs w:val="18"/>
              </w:rPr>
            </w:pPr>
            <w:r w:rsidRPr="004B6A43">
              <w:rPr>
                <w:rFonts w:ascii="Arial" w:hAnsi="Arial" w:cs="Arial"/>
                <w:color w:val="FFFFFF"/>
                <w:sz w:val="18"/>
                <w:szCs w:val="18"/>
              </w:rPr>
              <w:t>2021 Therms</w:t>
            </w:r>
          </w:p>
        </w:tc>
        <w:tc>
          <w:tcPr>
            <w:tcW w:w="1568" w:type="dxa"/>
            <w:shd w:val="clear" w:color="auto" w:fill="006666"/>
            <w:vAlign w:val="center"/>
            <w:hideMark/>
          </w:tcPr>
          <w:p w14:paraId="7DF6C087" w14:textId="77777777" w:rsidR="004B6A43" w:rsidRPr="004B6A43" w:rsidRDefault="004B6A43" w:rsidP="00344AF5">
            <w:pPr>
              <w:spacing w:after="0" w:line="240" w:lineRule="auto"/>
              <w:jc w:val="center"/>
              <w:rPr>
                <w:rFonts w:ascii="Arial" w:eastAsia="Times New Roman" w:hAnsi="Arial" w:cs="Arial"/>
                <w:color w:val="FFFFFF"/>
                <w:sz w:val="18"/>
                <w:szCs w:val="18"/>
              </w:rPr>
            </w:pPr>
            <w:r w:rsidRPr="004B6A43">
              <w:rPr>
                <w:rFonts w:ascii="Arial" w:hAnsi="Arial" w:cs="Arial"/>
                <w:color w:val="FFFFFF"/>
                <w:sz w:val="18"/>
                <w:szCs w:val="18"/>
              </w:rPr>
              <w:t>3-year average Incentive</w:t>
            </w:r>
          </w:p>
        </w:tc>
        <w:tc>
          <w:tcPr>
            <w:tcW w:w="1366" w:type="dxa"/>
            <w:shd w:val="clear" w:color="auto" w:fill="006666"/>
            <w:vAlign w:val="center"/>
            <w:hideMark/>
          </w:tcPr>
          <w:p w14:paraId="7E44F6F9" w14:textId="77777777" w:rsidR="004B6A43" w:rsidRPr="004B6A43" w:rsidRDefault="004B6A43" w:rsidP="00344AF5">
            <w:pPr>
              <w:spacing w:after="0" w:line="240" w:lineRule="auto"/>
              <w:jc w:val="center"/>
              <w:rPr>
                <w:rFonts w:ascii="Arial" w:eastAsia="Times New Roman" w:hAnsi="Arial" w:cs="Arial"/>
                <w:color w:val="FFFFFF"/>
                <w:sz w:val="18"/>
                <w:szCs w:val="18"/>
              </w:rPr>
            </w:pPr>
            <w:r w:rsidRPr="004B6A43">
              <w:rPr>
                <w:rFonts w:ascii="Arial" w:hAnsi="Arial" w:cs="Arial"/>
                <w:color w:val="FFFFFF"/>
                <w:sz w:val="18"/>
                <w:szCs w:val="18"/>
              </w:rPr>
              <w:t>2021 Incentive</w:t>
            </w:r>
          </w:p>
        </w:tc>
      </w:tr>
      <w:tr w:rsidR="004B6A43" w:rsidRPr="004B6A43" w14:paraId="29D5DEB9" w14:textId="77777777" w:rsidTr="004B6A43">
        <w:trPr>
          <w:trHeight w:val="186"/>
        </w:trPr>
        <w:tc>
          <w:tcPr>
            <w:tcW w:w="435" w:type="dxa"/>
            <w:vMerge w:val="restart"/>
            <w:tcBorders>
              <w:top w:val="single" w:sz="4" w:space="0" w:color="auto"/>
              <w:left w:val="single" w:sz="4" w:space="0" w:color="auto"/>
              <w:bottom w:val="single" w:sz="4" w:space="0" w:color="000000"/>
              <w:right w:val="single" w:sz="4" w:space="0" w:color="auto"/>
            </w:tcBorders>
            <w:shd w:val="clear" w:color="auto" w:fill="FFFFFF"/>
            <w:noWrap/>
            <w:textDirection w:val="btLr"/>
            <w:vAlign w:val="center"/>
            <w:hideMark/>
          </w:tcPr>
          <w:p w14:paraId="08D48064" w14:textId="77777777" w:rsidR="004B6A43" w:rsidRPr="004B6A43" w:rsidRDefault="004B6A43" w:rsidP="00344AF5">
            <w:pPr>
              <w:spacing w:after="0" w:line="240" w:lineRule="auto"/>
              <w:jc w:val="center"/>
              <w:rPr>
                <w:rFonts w:ascii="Arial" w:eastAsia="Times New Roman" w:hAnsi="Arial" w:cs="Arial"/>
                <w:color w:val="595959"/>
                <w:sz w:val="18"/>
                <w:szCs w:val="18"/>
              </w:rPr>
            </w:pPr>
            <w:r w:rsidRPr="004B6A43">
              <w:rPr>
                <w:rFonts w:ascii="Arial" w:eastAsia="Times New Roman" w:hAnsi="Arial" w:cs="Arial"/>
                <w:color w:val="595959"/>
                <w:sz w:val="18"/>
                <w:szCs w:val="18"/>
              </w:rPr>
              <w:t>Achieved</w:t>
            </w:r>
          </w:p>
        </w:tc>
        <w:tc>
          <w:tcPr>
            <w:tcW w:w="2421" w:type="dxa"/>
            <w:tcBorders>
              <w:top w:val="single" w:sz="4" w:space="0" w:color="auto"/>
              <w:left w:val="single" w:sz="4" w:space="0" w:color="auto"/>
              <w:bottom w:val="nil"/>
              <w:right w:val="nil"/>
            </w:tcBorders>
            <w:shd w:val="clear" w:color="auto" w:fill="FBFAF8"/>
            <w:vAlign w:val="center"/>
            <w:hideMark/>
          </w:tcPr>
          <w:p w14:paraId="5B4E33EC" w14:textId="77777777" w:rsidR="004B6A43" w:rsidRPr="004B6A43" w:rsidRDefault="004B6A43" w:rsidP="00344AF5">
            <w:pPr>
              <w:spacing w:after="0" w:line="240" w:lineRule="auto"/>
              <w:rPr>
                <w:rFonts w:ascii="Arial" w:eastAsia="Times New Roman" w:hAnsi="Arial" w:cs="Arial"/>
                <w:color w:val="000000"/>
                <w:sz w:val="18"/>
                <w:szCs w:val="18"/>
              </w:rPr>
            </w:pPr>
            <w:r w:rsidRPr="004B6A43">
              <w:rPr>
                <w:rFonts w:ascii="Arial" w:hAnsi="Arial" w:cs="Arial"/>
                <w:color w:val="44546A"/>
                <w:sz w:val="18"/>
                <w:szCs w:val="18"/>
              </w:rPr>
              <w:t>March Achieved Total</w:t>
            </w:r>
          </w:p>
        </w:tc>
        <w:tc>
          <w:tcPr>
            <w:tcW w:w="1381" w:type="dxa"/>
            <w:tcBorders>
              <w:top w:val="single" w:sz="4" w:space="0" w:color="auto"/>
              <w:left w:val="nil"/>
              <w:bottom w:val="nil"/>
              <w:right w:val="nil"/>
            </w:tcBorders>
            <w:shd w:val="clear" w:color="000000" w:fill="FBFAF8"/>
            <w:vAlign w:val="center"/>
            <w:hideMark/>
          </w:tcPr>
          <w:p w14:paraId="622ADC65"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31,800</w:t>
            </w:r>
          </w:p>
        </w:tc>
        <w:tc>
          <w:tcPr>
            <w:tcW w:w="1449" w:type="dxa"/>
            <w:tcBorders>
              <w:top w:val="single" w:sz="4" w:space="0" w:color="auto"/>
              <w:left w:val="nil"/>
              <w:bottom w:val="nil"/>
              <w:right w:val="nil"/>
            </w:tcBorders>
            <w:shd w:val="clear" w:color="000000" w:fill="FBFAF8"/>
            <w:vAlign w:val="center"/>
            <w:hideMark/>
          </w:tcPr>
          <w:p w14:paraId="2155EB9B"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52,306</w:t>
            </w:r>
          </w:p>
        </w:tc>
        <w:tc>
          <w:tcPr>
            <w:tcW w:w="1568" w:type="dxa"/>
            <w:tcBorders>
              <w:top w:val="single" w:sz="4" w:space="0" w:color="auto"/>
              <w:left w:val="nil"/>
              <w:bottom w:val="nil"/>
              <w:right w:val="nil"/>
            </w:tcBorders>
            <w:shd w:val="clear" w:color="000000" w:fill="FBFAF8"/>
            <w:vAlign w:val="center"/>
            <w:hideMark/>
          </w:tcPr>
          <w:p w14:paraId="783C55C6"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$180,216</w:t>
            </w:r>
          </w:p>
        </w:tc>
        <w:tc>
          <w:tcPr>
            <w:tcW w:w="1366" w:type="dxa"/>
            <w:tcBorders>
              <w:top w:val="single" w:sz="4" w:space="0" w:color="auto"/>
              <w:left w:val="nil"/>
              <w:bottom w:val="nil"/>
              <w:right w:val="single" w:sz="4" w:space="0" w:color="auto"/>
            </w:tcBorders>
            <w:shd w:val="clear" w:color="000000" w:fill="FBFAF8"/>
            <w:vAlign w:val="center"/>
            <w:hideMark/>
          </w:tcPr>
          <w:p w14:paraId="3DB37D2C"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 xml:space="preserve">$304,790 </w:t>
            </w:r>
          </w:p>
        </w:tc>
      </w:tr>
      <w:tr w:rsidR="004B6A43" w:rsidRPr="004B6A43" w14:paraId="3AB15DB7" w14:textId="77777777" w:rsidTr="004B6A43">
        <w:trPr>
          <w:trHeight w:val="186"/>
        </w:trPr>
        <w:tc>
          <w:tcPr>
            <w:tcW w:w="435" w:type="dxa"/>
            <w:vMerge/>
            <w:tcBorders>
              <w:top w:val="single" w:sz="4" w:space="0" w:color="auto"/>
              <w:left w:val="single" w:sz="4" w:space="0" w:color="auto"/>
              <w:bottom w:val="single" w:sz="4" w:space="0" w:color="000000"/>
              <w:right w:val="single" w:sz="4" w:space="0" w:color="auto"/>
            </w:tcBorders>
            <w:vAlign w:val="center"/>
            <w:hideMark/>
          </w:tcPr>
          <w:p w14:paraId="0CCE1B9A" w14:textId="77777777" w:rsidR="004B6A43" w:rsidRPr="004B6A43" w:rsidRDefault="004B6A43" w:rsidP="00344AF5">
            <w:pPr>
              <w:spacing w:after="0"/>
              <w:rPr>
                <w:rFonts w:ascii="Arial" w:eastAsia="Times New Roman" w:hAnsi="Arial" w:cs="Arial"/>
                <w:color w:val="595959"/>
                <w:sz w:val="18"/>
                <w:szCs w:val="18"/>
              </w:rPr>
            </w:pPr>
          </w:p>
        </w:tc>
        <w:tc>
          <w:tcPr>
            <w:tcW w:w="2421" w:type="dxa"/>
            <w:tcBorders>
              <w:top w:val="nil"/>
              <w:left w:val="single" w:sz="4" w:space="0" w:color="auto"/>
              <w:bottom w:val="nil"/>
              <w:right w:val="nil"/>
            </w:tcBorders>
            <w:shd w:val="clear" w:color="auto" w:fill="FBFAF8"/>
            <w:vAlign w:val="center"/>
            <w:hideMark/>
          </w:tcPr>
          <w:p w14:paraId="5A05A5DB" w14:textId="77777777" w:rsidR="004B6A43" w:rsidRPr="004B6A43" w:rsidRDefault="004B6A43" w:rsidP="00344AF5">
            <w:pPr>
              <w:spacing w:after="0" w:line="240" w:lineRule="auto"/>
              <w:rPr>
                <w:rFonts w:ascii="Arial" w:eastAsia="Times New Roman" w:hAnsi="Arial" w:cs="Arial"/>
                <w:color w:val="000000"/>
                <w:sz w:val="18"/>
                <w:szCs w:val="18"/>
              </w:rPr>
            </w:pPr>
            <w:r w:rsidRPr="004B6A43">
              <w:rPr>
                <w:rFonts w:ascii="Arial" w:hAnsi="Arial" w:cs="Arial"/>
                <w:color w:val="44546A"/>
                <w:sz w:val="18"/>
                <w:szCs w:val="18"/>
              </w:rPr>
              <w:t>YTD Achieved Total</w:t>
            </w:r>
          </w:p>
        </w:tc>
        <w:tc>
          <w:tcPr>
            <w:tcW w:w="1381" w:type="dxa"/>
            <w:tcBorders>
              <w:top w:val="nil"/>
              <w:left w:val="nil"/>
              <w:bottom w:val="nil"/>
              <w:right w:val="nil"/>
            </w:tcBorders>
            <w:shd w:val="clear" w:color="000000" w:fill="FBFAF8"/>
            <w:vAlign w:val="center"/>
            <w:hideMark/>
          </w:tcPr>
          <w:p w14:paraId="25B8A444" w14:textId="77777777" w:rsidR="004B6A43" w:rsidRPr="004B6A43" w:rsidRDefault="004B6A43" w:rsidP="00344AF5">
            <w:pPr>
              <w:spacing w:after="0" w:line="240" w:lineRule="auto"/>
              <w:jc w:val="center"/>
              <w:rPr>
                <w:rFonts w:ascii="Arial" w:eastAsia="Times New Roman" w:hAnsi="Arial" w:cs="Arial"/>
                <w:color w:val="44546A"/>
                <w:sz w:val="18"/>
                <w:szCs w:val="18"/>
              </w:rPr>
            </w:pPr>
            <w:r w:rsidRPr="004B6A43">
              <w:rPr>
                <w:rFonts w:ascii="Arial" w:hAnsi="Arial" w:cs="Arial"/>
                <w:color w:val="44546A"/>
                <w:sz w:val="18"/>
                <w:szCs w:val="18"/>
              </w:rPr>
              <w:t>96,705</w:t>
            </w:r>
          </w:p>
        </w:tc>
        <w:tc>
          <w:tcPr>
            <w:tcW w:w="1449" w:type="dxa"/>
            <w:tcBorders>
              <w:top w:val="nil"/>
              <w:left w:val="nil"/>
              <w:bottom w:val="nil"/>
              <w:right w:val="nil"/>
            </w:tcBorders>
            <w:shd w:val="clear" w:color="000000" w:fill="FBFAF8"/>
            <w:vAlign w:val="center"/>
            <w:hideMark/>
          </w:tcPr>
          <w:p w14:paraId="37829926"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147,253</w:t>
            </w:r>
          </w:p>
        </w:tc>
        <w:tc>
          <w:tcPr>
            <w:tcW w:w="1568" w:type="dxa"/>
            <w:tcBorders>
              <w:top w:val="nil"/>
              <w:left w:val="nil"/>
              <w:bottom w:val="nil"/>
              <w:right w:val="nil"/>
            </w:tcBorders>
            <w:shd w:val="clear" w:color="000000" w:fill="FBFAF8"/>
            <w:vAlign w:val="center"/>
            <w:hideMark/>
          </w:tcPr>
          <w:p w14:paraId="283A157B"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$576,665</w:t>
            </w:r>
          </w:p>
        </w:tc>
        <w:tc>
          <w:tcPr>
            <w:tcW w:w="1366" w:type="dxa"/>
            <w:tcBorders>
              <w:top w:val="nil"/>
              <w:left w:val="nil"/>
              <w:bottom w:val="nil"/>
              <w:right w:val="single" w:sz="4" w:space="0" w:color="auto"/>
            </w:tcBorders>
            <w:shd w:val="clear" w:color="000000" w:fill="FBFAF8"/>
            <w:vAlign w:val="center"/>
            <w:hideMark/>
          </w:tcPr>
          <w:p w14:paraId="5756DEE2"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 xml:space="preserve">$566,209 </w:t>
            </w:r>
          </w:p>
        </w:tc>
      </w:tr>
      <w:tr w:rsidR="004B6A43" w:rsidRPr="004B6A43" w14:paraId="16CB3A69" w14:textId="77777777" w:rsidTr="004B6A43">
        <w:trPr>
          <w:trHeight w:val="186"/>
        </w:trPr>
        <w:tc>
          <w:tcPr>
            <w:tcW w:w="435" w:type="dxa"/>
            <w:vMerge/>
            <w:tcBorders>
              <w:top w:val="single" w:sz="4" w:space="0" w:color="auto"/>
              <w:left w:val="single" w:sz="4" w:space="0" w:color="auto"/>
              <w:bottom w:val="single" w:sz="4" w:space="0" w:color="000000"/>
              <w:right w:val="single" w:sz="4" w:space="0" w:color="auto"/>
            </w:tcBorders>
            <w:vAlign w:val="center"/>
            <w:hideMark/>
          </w:tcPr>
          <w:p w14:paraId="4165189C" w14:textId="77777777" w:rsidR="004B6A43" w:rsidRPr="004B6A43" w:rsidRDefault="004B6A43" w:rsidP="00344AF5">
            <w:pPr>
              <w:spacing w:after="0"/>
              <w:rPr>
                <w:rFonts w:ascii="Arial" w:eastAsia="Times New Roman" w:hAnsi="Arial" w:cs="Arial"/>
                <w:color w:val="595959"/>
                <w:sz w:val="18"/>
                <w:szCs w:val="18"/>
              </w:rPr>
            </w:pPr>
          </w:p>
        </w:tc>
        <w:tc>
          <w:tcPr>
            <w:tcW w:w="2421" w:type="dxa"/>
            <w:tcBorders>
              <w:top w:val="nil"/>
              <w:left w:val="single" w:sz="4" w:space="0" w:color="auto"/>
              <w:bottom w:val="nil"/>
              <w:right w:val="nil"/>
            </w:tcBorders>
            <w:shd w:val="clear" w:color="auto" w:fill="FBFAF8"/>
            <w:vAlign w:val="center"/>
            <w:hideMark/>
          </w:tcPr>
          <w:p w14:paraId="5E6DFE6C" w14:textId="77777777" w:rsidR="004B6A43" w:rsidRPr="004B6A43" w:rsidRDefault="004B6A43" w:rsidP="00344AF5">
            <w:pPr>
              <w:spacing w:after="0" w:line="240" w:lineRule="auto"/>
              <w:rPr>
                <w:rFonts w:ascii="Arial" w:eastAsia="Times New Roman" w:hAnsi="Arial" w:cs="Arial"/>
                <w:color w:val="000000"/>
                <w:sz w:val="18"/>
                <w:szCs w:val="18"/>
              </w:rPr>
            </w:pPr>
            <w:r w:rsidRPr="004B6A43">
              <w:rPr>
                <w:rFonts w:ascii="Arial" w:hAnsi="Arial" w:cs="Arial"/>
                <w:color w:val="44546A"/>
                <w:sz w:val="18"/>
                <w:szCs w:val="18"/>
              </w:rPr>
              <w:t>Performance-to-Plan</w:t>
            </w:r>
          </w:p>
        </w:tc>
        <w:tc>
          <w:tcPr>
            <w:tcW w:w="1381" w:type="dxa"/>
            <w:tcBorders>
              <w:top w:val="nil"/>
              <w:left w:val="nil"/>
              <w:bottom w:val="nil"/>
              <w:right w:val="nil"/>
            </w:tcBorders>
            <w:shd w:val="clear" w:color="000000" w:fill="FBFAF8"/>
            <w:vAlign w:val="center"/>
            <w:hideMark/>
          </w:tcPr>
          <w:p w14:paraId="3CC668B3" w14:textId="77777777" w:rsidR="004B6A43" w:rsidRPr="004B6A43" w:rsidRDefault="004B6A43" w:rsidP="00344AF5">
            <w:pPr>
              <w:spacing w:after="0" w:line="240" w:lineRule="auto"/>
              <w:jc w:val="center"/>
              <w:rPr>
                <w:rFonts w:ascii="Arial" w:eastAsia="Times New Roman" w:hAnsi="Arial" w:cs="Arial"/>
                <w:color w:val="44546A"/>
                <w:sz w:val="18"/>
                <w:szCs w:val="18"/>
              </w:rPr>
            </w:pPr>
            <w:r w:rsidRPr="004B6A43">
              <w:rPr>
                <w:rFonts w:ascii="Arial" w:hAnsi="Arial" w:cs="Arial"/>
                <w:color w:val="44546A"/>
                <w:sz w:val="18"/>
                <w:szCs w:val="18"/>
              </w:rPr>
              <w:t>299,951</w:t>
            </w:r>
          </w:p>
        </w:tc>
        <w:tc>
          <w:tcPr>
            <w:tcW w:w="1449" w:type="dxa"/>
            <w:tcBorders>
              <w:top w:val="nil"/>
              <w:left w:val="nil"/>
              <w:bottom w:val="nil"/>
              <w:right w:val="nil"/>
            </w:tcBorders>
            <w:shd w:val="clear" w:color="000000" w:fill="FBFAF8"/>
            <w:vAlign w:val="center"/>
            <w:hideMark/>
          </w:tcPr>
          <w:p w14:paraId="22AB7159"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471,164</w:t>
            </w:r>
          </w:p>
        </w:tc>
        <w:tc>
          <w:tcPr>
            <w:tcW w:w="1568" w:type="dxa"/>
            <w:tcBorders>
              <w:top w:val="nil"/>
              <w:left w:val="nil"/>
              <w:bottom w:val="nil"/>
              <w:right w:val="nil"/>
            </w:tcBorders>
            <w:shd w:val="clear" w:color="000000" w:fill="FBFAF8"/>
            <w:vAlign w:val="center"/>
            <w:hideMark/>
          </w:tcPr>
          <w:p w14:paraId="26282067"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$2,650,450</w:t>
            </w:r>
          </w:p>
        </w:tc>
        <w:tc>
          <w:tcPr>
            <w:tcW w:w="1366" w:type="dxa"/>
            <w:tcBorders>
              <w:top w:val="nil"/>
              <w:left w:val="nil"/>
              <w:bottom w:val="nil"/>
              <w:right w:val="single" w:sz="4" w:space="0" w:color="auto"/>
            </w:tcBorders>
            <w:shd w:val="clear" w:color="000000" w:fill="FBFAF8"/>
            <w:vAlign w:val="center"/>
            <w:hideMark/>
          </w:tcPr>
          <w:p w14:paraId="6C6FC451"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 xml:space="preserve">$2,897,689 </w:t>
            </w:r>
          </w:p>
        </w:tc>
      </w:tr>
      <w:tr w:rsidR="004B6A43" w:rsidRPr="004B6A43" w14:paraId="335C5CC2" w14:textId="77777777" w:rsidTr="004B6A43">
        <w:trPr>
          <w:trHeight w:val="186"/>
        </w:trPr>
        <w:tc>
          <w:tcPr>
            <w:tcW w:w="435" w:type="dxa"/>
            <w:vMerge/>
            <w:tcBorders>
              <w:top w:val="single" w:sz="4" w:space="0" w:color="auto"/>
              <w:left w:val="single" w:sz="4" w:space="0" w:color="auto"/>
              <w:bottom w:val="single" w:sz="4" w:space="0" w:color="000000"/>
              <w:right w:val="single" w:sz="4" w:space="0" w:color="auto"/>
            </w:tcBorders>
            <w:vAlign w:val="center"/>
            <w:hideMark/>
          </w:tcPr>
          <w:p w14:paraId="0D8C7FAD" w14:textId="77777777" w:rsidR="004B6A43" w:rsidRPr="004B6A43" w:rsidRDefault="004B6A43" w:rsidP="00344AF5">
            <w:pPr>
              <w:spacing w:after="0"/>
              <w:rPr>
                <w:rFonts w:ascii="Arial" w:eastAsia="Times New Roman" w:hAnsi="Arial" w:cs="Arial"/>
                <w:color w:val="595959"/>
                <w:sz w:val="18"/>
                <w:szCs w:val="18"/>
              </w:rPr>
            </w:pPr>
          </w:p>
        </w:tc>
        <w:tc>
          <w:tcPr>
            <w:tcW w:w="2421" w:type="dxa"/>
            <w:tcBorders>
              <w:top w:val="nil"/>
              <w:left w:val="single" w:sz="4" w:space="0" w:color="auto"/>
              <w:bottom w:val="single" w:sz="4" w:space="0" w:color="auto"/>
              <w:right w:val="nil"/>
            </w:tcBorders>
            <w:shd w:val="clear" w:color="auto" w:fill="FBFAF8"/>
            <w:vAlign w:val="center"/>
            <w:hideMark/>
          </w:tcPr>
          <w:p w14:paraId="620AC5CB" w14:textId="77777777" w:rsidR="004B6A43" w:rsidRPr="004B6A43" w:rsidRDefault="004B6A43" w:rsidP="00344AF5">
            <w:pPr>
              <w:spacing w:after="0" w:line="240" w:lineRule="auto"/>
              <w:rPr>
                <w:rFonts w:ascii="Arial" w:eastAsia="Times New Roman" w:hAnsi="Arial" w:cs="Arial"/>
                <w:b/>
                <w:bCs/>
                <w:color w:val="000000"/>
                <w:sz w:val="18"/>
                <w:szCs w:val="18"/>
              </w:rPr>
            </w:pPr>
            <w:r w:rsidRPr="004B6A43">
              <w:rPr>
                <w:rFonts w:ascii="Arial" w:hAnsi="Arial" w:cs="Arial"/>
                <w:b/>
                <w:bCs/>
                <w:color w:val="44546A"/>
                <w:sz w:val="18"/>
                <w:szCs w:val="18"/>
              </w:rPr>
              <w:t>% to Plan Achieved</w:t>
            </w:r>
          </w:p>
        </w:tc>
        <w:tc>
          <w:tcPr>
            <w:tcW w:w="1381" w:type="dxa"/>
            <w:tcBorders>
              <w:top w:val="nil"/>
              <w:left w:val="nil"/>
              <w:bottom w:val="single" w:sz="4" w:space="0" w:color="auto"/>
              <w:right w:val="nil"/>
            </w:tcBorders>
            <w:shd w:val="clear" w:color="000000" w:fill="FBFAF8"/>
            <w:vAlign w:val="center"/>
            <w:hideMark/>
          </w:tcPr>
          <w:p w14:paraId="5252F48E" w14:textId="77777777" w:rsidR="004B6A43" w:rsidRPr="004B6A43" w:rsidRDefault="004B6A43" w:rsidP="00344AF5">
            <w:pPr>
              <w:spacing w:after="0" w:line="240" w:lineRule="auto"/>
              <w:jc w:val="center"/>
              <w:rPr>
                <w:rFonts w:ascii="Arial" w:eastAsia="Times New Roman" w:hAnsi="Arial" w:cs="Arial"/>
                <w:b/>
                <w:bCs/>
                <w:color w:val="000000"/>
                <w:sz w:val="18"/>
                <w:szCs w:val="18"/>
              </w:rPr>
            </w:pPr>
            <w:r w:rsidRPr="004B6A43">
              <w:rPr>
                <w:rFonts w:ascii="Arial" w:hAnsi="Arial" w:cs="Arial"/>
                <w:b/>
                <w:bCs/>
                <w:color w:val="44546A"/>
                <w:sz w:val="18"/>
                <w:szCs w:val="18"/>
              </w:rPr>
              <w:t>32%</w:t>
            </w:r>
          </w:p>
        </w:tc>
        <w:tc>
          <w:tcPr>
            <w:tcW w:w="1449" w:type="dxa"/>
            <w:tcBorders>
              <w:top w:val="nil"/>
              <w:left w:val="nil"/>
              <w:bottom w:val="nil"/>
              <w:right w:val="nil"/>
            </w:tcBorders>
            <w:shd w:val="clear" w:color="000000" w:fill="FBFAF8"/>
            <w:vAlign w:val="center"/>
            <w:hideMark/>
          </w:tcPr>
          <w:p w14:paraId="537CD66F" w14:textId="77777777" w:rsidR="004B6A43" w:rsidRPr="004B6A43" w:rsidRDefault="004B6A43" w:rsidP="00344AF5">
            <w:pPr>
              <w:spacing w:after="0" w:line="240" w:lineRule="auto"/>
              <w:jc w:val="center"/>
              <w:rPr>
                <w:rFonts w:ascii="Arial" w:eastAsia="Times New Roman" w:hAnsi="Arial" w:cs="Arial"/>
                <w:b/>
                <w:bCs/>
                <w:color w:val="000000"/>
                <w:sz w:val="18"/>
                <w:szCs w:val="18"/>
              </w:rPr>
            </w:pPr>
            <w:r w:rsidRPr="004B6A43">
              <w:rPr>
                <w:rFonts w:ascii="Arial" w:hAnsi="Arial" w:cs="Arial"/>
                <w:b/>
                <w:bCs/>
                <w:color w:val="44546A"/>
                <w:sz w:val="18"/>
                <w:szCs w:val="18"/>
              </w:rPr>
              <w:t>31%</w:t>
            </w:r>
          </w:p>
        </w:tc>
        <w:tc>
          <w:tcPr>
            <w:tcW w:w="1568" w:type="dxa"/>
            <w:tcBorders>
              <w:top w:val="nil"/>
              <w:left w:val="nil"/>
              <w:bottom w:val="single" w:sz="4" w:space="0" w:color="auto"/>
              <w:right w:val="nil"/>
            </w:tcBorders>
            <w:shd w:val="clear" w:color="000000" w:fill="FBFAF8"/>
            <w:vAlign w:val="center"/>
            <w:hideMark/>
          </w:tcPr>
          <w:p w14:paraId="773B3AE9" w14:textId="77777777" w:rsidR="004B6A43" w:rsidRPr="004B6A43" w:rsidRDefault="004B6A43" w:rsidP="00344AF5">
            <w:pPr>
              <w:spacing w:after="0" w:line="240" w:lineRule="auto"/>
              <w:jc w:val="center"/>
              <w:rPr>
                <w:rFonts w:ascii="Arial" w:eastAsia="Times New Roman" w:hAnsi="Arial" w:cs="Arial"/>
                <w:b/>
                <w:bCs/>
                <w:color w:val="000000"/>
                <w:sz w:val="18"/>
                <w:szCs w:val="18"/>
              </w:rPr>
            </w:pPr>
            <w:r w:rsidRPr="004B6A43">
              <w:rPr>
                <w:rFonts w:ascii="Arial" w:hAnsi="Arial" w:cs="Arial"/>
                <w:b/>
                <w:bCs/>
                <w:color w:val="44546A"/>
                <w:sz w:val="18"/>
                <w:szCs w:val="18"/>
              </w:rPr>
              <w:t>22%</w:t>
            </w:r>
          </w:p>
        </w:tc>
        <w:tc>
          <w:tcPr>
            <w:tcW w:w="1366" w:type="dxa"/>
            <w:tcBorders>
              <w:top w:val="nil"/>
              <w:left w:val="nil"/>
              <w:bottom w:val="single" w:sz="4" w:space="0" w:color="auto"/>
              <w:right w:val="single" w:sz="4" w:space="0" w:color="auto"/>
            </w:tcBorders>
            <w:shd w:val="clear" w:color="000000" w:fill="FBFAF8"/>
            <w:vAlign w:val="center"/>
            <w:hideMark/>
          </w:tcPr>
          <w:p w14:paraId="364FEDA3" w14:textId="77777777" w:rsidR="004B6A43" w:rsidRPr="004B6A43" w:rsidRDefault="004B6A43" w:rsidP="00344AF5">
            <w:pPr>
              <w:spacing w:after="0" w:line="240" w:lineRule="auto"/>
              <w:jc w:val="center"/>
              <w:rPr>
                <w:rFonts w:ascii="Arial" w:eastAsia="Times New Roman" w:hAnsi="Arial" w:cs="Arial"/>
                <w:b/>
                <w:bCs/>
                <w:color w:val="000000"/>
                <w:sz w:val="18"/>
                <w:szCs w:val="18"/>
              </w:rPr>
            </w:pPr>
            <w:r w:rsidRPr="004B6A43">
              <w:rPr>
                <w:rFonts w:ascii="Arial" w:hAnsi="Arial" w:cs="Arial"/>
                <w:b/>
                <w:bCs/>
                <w:color w:val="44546A"/>
                <w:sz w:val="18"/>
                <w:szCs w:val="18"/>
              </w:rPr>
              <w:t>20%</w:t>
            </w:r>
          </w:p>
        </w:tc>
      </w:tr>
      <w:tr w:rsidR="004B6A43" w:rsidRPr="004B6A43" w14:paraId="771A5F2D" w14:textId="77777777" w:rsidTr="004B6A43">
        <w:trPr>
          <w:trHeight w:val="186"/>
        </w:trPr>
        <w:tc>
          <w:tcPr>
            <w:tcW w:w="435" w:type="dxa"/>
            <w:vMerge w:val="restart"/>
            <w:tcBorders>
              <w:top w:val="nil"/>
              <w:left w:val="single" w:sz="4" w:space="0" w:color="auto"/>
              <w:bottom w:val="single" w:sz="4" w:space="0" w:color="000000"/>
              <w:right w:val="single" w:sz="4" w:space="0" w:color="auto"/>
            </w:tcBorders>
            <w:shd w:val="clear" w:color="auto" w:fill="FFFFFF"/>
            <w:noWrap/>
            <w:textDirection w:val="btLr"/>
            <w:vAlign w:val="center"/>
            <w:hideMark/>
          </w:tcPr>
          <w:p w14:paraId="795F5072" w14:textId="77777777" w:rsidR="004B6A43" w:rsidRPr="004B6A43" w:rsidRDefault="004B6A43" w:rsidP="00344AF5">
            <w:pPr>
              <w:spacing w:after="0" w:line="240" w:lineRule="auto"/>
              <w:jc w:val="center"/>
              <w:rPr>
                <w:rFonts w:ascii="Arial" w:eastAsia="Times New Roman" w:hAnsi="Arial" w:cs="Arial"/>
                <w:color w:val="595959"/>
                <w:sz w:val="18"/>
                <w:szCs w:val="18"/>
              </w:rPr>
            </w:pPr>
            <w:r w:rsidRPr="004B6A43">
              <w:rPr>
                <w:rFonts w:ascii="Arial" w:eastAsia="Times New Roman" w:hAnsi="Arial" w:cs="Arial"/>
                <w:color w:val="595959"/>
                <w:sz w:val="18"/>
                <w:szCs w:val="18"/>
              </w:rPr>
              <w:t>In Progress</w:t>
            </w:r>
          </w:p>
        </w:tc>
        <w:tc>
          <w:tcPr>
            <w:tcW w:w="2421" w:type="dxa"/>
            <w:tcBorders>
              <w:top w:val="single" w:sz="4" w:space="0" w:color="auto"/>
              <w:left w:val="single" w:sz="4" w:space="0" w:color="auto"/>
              <w:right w:val="nil"/>
            </w:tcBorders>
            <w:shd w:val="clear" w:color="auto" w:fill="FBFAF8"/>
            <w:vAlign w:val="center"/>
            <w:hideMark/>
          </w:tcPr>
          <w:p w14:paraId="589E1AAD" w14:textId="77777777" w:rsidR="004B6A43" w:rsidRPr="004B6A43" w:rsidRDefault="004B6A43" w:rsidP="00344AF5">
            <w:pPr>
              <w:spacing w:after="0" w:line="240" w:lineRule="auto"/>
              <w:rPr>
                <w:rFonts w:ascii="Arial" w:eastAsia="Times New Roman" w:hAnsi="Arial" w:cs="Arial"/>
                <w:color w:val="000000"/>
                <w:sz w:val="18"/>
                <w:szCs w:val="18"/>
              </w:rPr>
            </w:pPr>
            <w:r w:rsidRPr="004B6A43">
              <w:rPr>
                <w:rFonts w:ascii="Arial" w:hAnsi="Arial" w:cs="Arial"/>
                <w:color w:val="44546A"/>
                <w:sz w:val="18"/>
                <w:szCs w:val="18"/>
              </w:rPr>
              <w:t>Core Residential Queue [1]</w:t>
            </w:r>
          </w:p>
        </w:tc>
        <w:tc>
          <w:tcPr>
            <w:tcW w:w="1381" w:type="dxa"/>
            <w:tcBorders>
              <w:top w:val="single" w:sz="4" w:space="0" w:color="auto"/>
              <w:left w:val="nil"/>
              <w:bottom w:val="nil"/>
              <w:right w:val="nil"/>
            </w:tcBorders>
            <w:shd w:val="clear" w:color="000000" w:fill="FBFAF8"/>
            <w:vAlign w:val="center"/>
            <w:hideMark/>
          </w:tcPr>
          <w:p w14:paraId="44724307"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368,642</w:t>
            </w:r>
          </w:p>
        </w:tc>
        <w:tc>
          <w:tcPr>
            <w:tcW w:w="1449" w:type="dxa"/>
            <w:tcBorders>
              <w:top w:val="single" w:sz="4" w:space="0" w:color="auto"/>
              <w:left w:val="nil"/>
              <w:bottom w:val="nil"/>
              <w:right w:val="nil"/>
            </w:tcBorders>
            <w:shd w:val="clear" w:color="000000" w:fill="FBFAF8"/>
            <w:vAlign w:val="center"/>
            <w:hideMark/>
          </w:tcPr>
          <w:p w14:paraId="6E8237C3"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55,518</w:t>
            </w:r>
          </w:p>
        </w:tc>
        <w:tc>
          <w:tcPr>
            <w:tcW w:w="1568" w:type="dxa"/>
            <w:tcBorders>
              <w:top w:val="single" w:sz="4" w:space="0" w:color="auto"/>
              <w:left w:val="nil"/>
              <w:bottom w:val="nil"/>
              <w:right w:val="nil"/>
            </w:tcBorders>
            <w:shd w:val="clear" w:color="000000" w:fill="FBFAF8"/>
            <w:vAlign w:val="center"/>
            <w:hideMark/>
          </w:tcPr>
          <w:p w14:paraId="14A213FA"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$343,487</w:t>
            </w:r>
          </w:p>
        </w:tc>
        <w:tc>
          <w:tcPr>
            <w:tcW w:w="1366" w:type="dxa"/>
            <w:tcBorders>
              <w:top w:val="single" w:sz="4" w:space="0" w:color="auto"/>
              <w:left w:val="nil"/>
              <w:bottom w:val="nil"/>
              <w:right w:val="single" w:sz="4" w:space="0" w:color="auto"/>
            </w:tcBorders>
            <w:shd w:val="clear" w:color="000000" w:fill="FBFAF8"/>
            <w:vAlign w:val="center"/>
            <w:hideMark/>
          </w:tcPr>
          <w:p w14:paraId="28E51319"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 xml:space="preserve">$328,387 </w:t>
            </w:r>
          </w:p>
        </w:tc>
      </w:tr>
      <w:tr w:rsidR="004B6A43" w:rsidRPr="004B6A43" w14:paraId="353A9347" w14:textId="77777777" w:rsidTr="004B6A43">
        <w:trPr>
          <w:trHeight w:val="186"/>
        </w:trPr>
        <w:tc>
          <w:tcPr>
            <w:tcW w:w="435" w:type="dxa"/>
            <w:vMerge/>
            <w:tcBorders>
              <w:top w:val="nil"/>
              <w:left w:val="single" w:sz="4" w:space="0" w:color="auto"/>
              <w:bottom w:val="single" w:sz="4" w:space="0" w:color="000000"/>
              <w:right w:val="single" w:sz="4" w:space="0" w:color="auto"/>
            </w:tcBorders>
            <w:vAlign w:val="center"/>
            <w:hideMark/>
          </w:tcPr>
          <w:p w14:paraId="49C22AEC" w14:textId="77777777" w:rsidR="004B6A43" w:rsidRPr="004B6A43" w:rsidRDefault="004B6A43" w:rsidP="00344AF5">
            <w:pPr>
              <w:spacing w:after="0"/>
              <w:rPr>
                <w:rFonts w:ascii="Arial" w:eastAsia="Times New Roman" w:hAnsi="Arial" w:cs="Arial"/>
                <w:color w:val="595959"/>
                <w:sz w:val="18"/>
                <w:szCs w:val="18"/>
              </w:rPr>
            </w:pPr>
          </w:p>
        </w:tc>
        <w:tc>
          <w:tcPr>
            <w:tcW w:w="2421" w:type="dxa"/>
            <w:tcBorders>
              <w:top w:val="nil"/>
              <w:left w:val="single" w:sz="4" w:space="0" w:color="auto"/>
              <w:bottom w:val="single" w:sz="4" w:space="0" w:color="auto"/>
              <w:right w:val="nil"/>
            </w:tcBorders>
            <w:shd w:val="clear" w:color="auto" w:fill="FBFAF8"/>
            <w:vAlign w:val="center"/>
            <w:hideMark/>
          </w:tcPr>
          <w:p w14:paraId="38F57707" w14:textId="77777777" w:rsidR="004B6A43" w:rsidRPr="004B6A43" w:rsidRDefault="004B6A43" w:rsidP="00344AF5">
            <w:pPr>
              <w:spacing w:after="0" w:line="240" w:lineRule="auto"/>
              <w:rPr>
                <w:rFonts w:ascii="Arial" w:eastAsia="Times New Roman" w:hAnsi="Arial" w:cs="Arial"/>
                <w:color w:val="000000"/>
                <w:sz w:val="18"/>
                <w:szCs w:val="18"/>
              </w:rPr>
            </w:pPr>
            <w:r w:rsidRPr="004B6A43">
              <w:rPr>
                <w:rFonts w:ascii="Arial" w:hAnsi="Arial" w:cs="Arial"/>
                <w:color w:val="44546A"/>
                <w:sz w:val="18"/>
                <w:szCs w:val="18"/>
              </w:rPr>
              <w:t>Builder Queue [2]</w:t>
            </w:r>
          </w:p>
        </w:tc>
        <w:tc>
          <w:tcPr>
            <w:tcW w:w="1381" w:type="dxa"/>
            <w:tcBorders>
              <w:top w:val="nil"/>
              <w:left w:val="nil"/>
              <w:bottom w:val="single" w:sz="4" w:space="0" w:color="auto"/>
              <w:right w:val="nil"/>
            </w:tcBorders>
            <w:shd w:val="clear" w:color="000000" w:fill="FBFAF8"/>
            <w:vAlign w:val="center"/>
            <w:hideMark/>
          </w:tcPr>
          <w:p w14:paraId="3BE41279"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0</w:t>
            </w:r>
          </w:p>
        </w:tc>
        <w:tc>
          <w:tcPr>
            <w:tcW w:w="1449" w:type="dxa"/>
            <w:tcBorders>
              <w:top w:val="nil"/>
              <w:left w:val="nil"/>
              <w:bottom w:val="single" w:sz="4" w:space="0" w:color="auto"/>
              <w:right w:val="nil"/>
            </w:tcBorders>
            <w:shd w:val="clear" w:color="000000" w:fill="FBFAF8"/>
            <w:vAlign w:val="center"/>
            <w:hideMark/>
          </w:tcPr>
          <w:p w14:paraId="37A57803"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10,608</w:t>
            </w:r>
          </w:p>
        </w:tc>
        <w:tc>
          <w:tcPr>
            <w:tcW w:w="1568" w:type="dxa"/>
            <w:tcBorders>
              <w:top w:val="nil"/>
              <w:left w:val="nil"/>
              <w:bottom w:val="single" w:sz="4" w:space="0" w:color="auto"/>
              <w:right w:val="nil"/>
            </w:tcBorders>
            <w:shd w:val="clear" w:color="000000" w:fill="FBFAF8"/>
            <w:vAlign w:val="center"/>
            <w:hideMark/>
          </w:tcPr>
          <w:p w14:paraId="61F9CC93"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$0</w:t>
            </w:r>
          </w:p>
        </w:tc>
        <w:tc>
          <w:tcPr>
            <w:tcW w:w="1366" w:type="dxa"/>
            <w:tcBorders>
              <w:top w:val="nil"/>
              <w:left w:val="nil"/>
              <w:bottom w:val="single" w:sz="4" w:space="0" w:color="auto"/>
              <w:right w:val="single" w:sz="4" w:space="0" w:color="auto"/>
            </w:tcBorders>
            <w:shd w:val="clear" w:color="000000" w:fill="FBFAF8"/>
            <w:vAlign w:val="center"/>
            <w:hideMark/>
          </w:tcPr>
          <w:p w14:paraId="472A1A2A"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 xml:space="preserve">$60,860 </w:t>
            </w:r>
          </w:p>
        </w:tc>
      </w:tr>
      <w:tr w:rsidR="004B6A43" w:rsidRPr="004B6A43" w14:paraId="65BFD660" w14:textId="77777777" w:rsidTr="004B6A43">
        <w:trPr>
          <w:trHeight w:val="186"/>
        </w:trPr>
        <w:tc>
          <w:tcPr>
            <w:tcW w:w="435" w:type="dxa"/>
            <w:vMerge/>
            <w:tcBorders>
              <w:top w:val="nil"/>
              <w:left w:val="single" w:sz="4" w:space="0" w:color="auto"/>
              <w:bottom w:val="single" w:sz="4" w:space="0" w:color="000000"/>
              <w:right w:val="single" w:sz="4" w:space="0" w:color="auto"/>
            </w:tcBorders>
            <w:vAlign w:val="center"/>
            <w:hideMark/>
          </w:tcPr>
          <w:p w14:paraId="2330D25A" w14:textId="77777777" w:rsidR="004B6A43" w:rsidRPr="004B6A43" w:rsidRDefault="004B6A43" w:rsidP="00344AF5">
            <w:pPr>
              <w:spacing w:after="0"/>
              <w:rPr>
                <w:rFonts w:ascii="Arial" w:eastAsia="Times New Roman" w:hAnsi="Arial" w:cs="Arial"/>
                <w:color w:val="595959"/>
                <w:sz w:val="18"/>
                <w:szCs w:val="18"/>
              </w:rPr>
            </w:pPr>
          </w:p>
        </w:tc>
        <w:tc>
          <w:tcPr>
            <w:tcW w:w="2421" w:type="dxa"/>
            <w:tcBorders>
              <w:top w:val="single" w:sz="4" w:space="0" w:color="auto"/>
              <w:left w:val="single" w:sz="4" w:space="0" w:color="auto"/>
              <w:bottom w:val="nil"/>
              <w:right w:val="nil"/>
            </w:tcBorders>
            <w:shd w:val="clear" w:color="auto" w:fill="FBFAF8"/>
            <w:vAlign w:val="center"/>
            <w:hideMark/>
          </w:tcPr>
          <w:p w14:paraId="23028C15" w14:textId="77777777" w:rsidR="004B6A43" w:rsidRPr="004B6A43" w:rsidRDefault="004B6A43" w:rsidP="00344AF5">
            <w:pPr>
              <w:spacing w:after="0" w:line="240" w:lineRule="auto"/>
              <w:rPr>
                <w:rFonts w:ascii="Arial" w:eastAsia="Times New Roman" w:hAnsi="Arial" w:cs="Arial"/>
                <w:color w:val="000000"/>
                <w:sz w:val="18"/>
                <w:szCs w:val="18"/>
              </w:rPr>
            </w:pPr>
            <w:r w:rsidRPr="004B6A43">
              <w:rPr>
                <w:rFonts w:ascii="Arial" w:hAnsi="Arial" w:cs="Arial"/>
                <w:color w:val="44546A"/>
                <w:sz w:val="18"/>
                <w:szCs w:val="18"/>
              </w:rPr>
              <w:t>Pipeline + Queue + YTD Achieved</w:t>
            </w:r>
          </w:p>
        </w:tc>
        <w:tc>
          <w:tcPr>
            <w:tcW w:w="1381" w:type="dxa"/>
            <w:tcBorders>
              <w:top w:val="nil"/>
              <w:left w:val="nil"/>
              <w:bottom w:val="nil"/>
              <w:right w:val="nil"/>
            </w:tcBorders>
            <w:shd w:val="clear" w:color="000000" w:fill="FBFAF8"/>
            <w:vAlign w:val="center"/>
            <w:hideMark/>
          </w:tcPr>
          <w:p w14:paraId="33C4BCC0"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465,347</w:t>
            </w:r>
          </w:p>
        </w:tc>
        <w:tc>
          <w:tcPr>
            <w:tcW w:w="1449" w:type="dxa"/>
            <w:tcBorders>
              <w:top w:val="nil"/>
              <w:left w:val="nil"/>
              <w:bottom w:val="nil"/>
              <w:right w:val="nil"/>
            </w:tcBorders>
            <w:shd w:val="clear" w:color="000000" w:fill="FBFAF8"/>
            <w:vAlign w:val="center"/>
            <w:hideMark/>
          </w:tcPr>
          <w:p w14:paraId="1D89D14B"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213,378</w:t>
            </w:r>
          </w:p>
        </w:tc>
        <w:tc>
          <w:tcPr>
            <w:tcW w:w="1568" w:type="dxa"/>
            <w:tcBorders>
              <w:top w:val="nil"/>
              <w:left w:val="nil"/>
              <w:bottom w:val="nil"/>
              <w:right w:val="nil"/>
            </w:tcBorders>
            <w:shd w:val="clear" w:color="000000" w:fill="FBFAF8"/>
            <w:vAlign w:val="center"/>
            <w:hideMark/>
          </w:tcPr>
          <w:p w14:paraId="4B2EDEEC"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$920,153</w:t>
            </w:r>
          </w:p>
        </w:tc>
        <w:tc>
          <w:tcPr>
            <w:tcW w:w="1366" w:type="dxa"/>
            <w:tcBorders>
              <w:top w:val="nil"/>
              <w:left w:val="nil"/>
              <w:bottom w:val="nil"/>
              <w:right w:val="single" w:sz="4" w:space="0" w:color="auto"/>
            </w:tcBorders>
            <w:shd w:val="clear" w:color="000000" w:fill="FBFAF8"/>
            <w:vAlign w:val="center"/>
            <w:hideMark/>
          </w:tcPr>
          <w:p w14:paraId="602AD1CF"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color w:val="44546A"/>
                <w:sz w:val="18"/>
                <w:szCs w:val="18"/>
              </w:rPr>
              <w:t xml:space="preserve">$955,456 </w:t>
            </w:r>
          </w:p>
        </w:tc>
      </w:tr>
      <w:tr w:rsidR="004B6A43" w:rsidRPr="004B6A43" w14:paraId="7816379C" w14:textId="77777777" w:rsidTr="004B6A43">
        <w:trPr>
          <w:trHeight w:val="250"/>
        </w:trPr>
        <w:tc>
          <w:tcPr>
            <w:tcW w:w="435" w:type="dxa"/>
            <w:vMerge/>
            <w:tcBorders>
              <w:top w:val="nil"/>
              <w:left w:val="single" w:sz="4" w:space="0" w:color="auto"/>
              <w:bottom w:val="single" w:sz="4" w:space="0" w:color="000000"/>
              <w:right w:val="single" w:sz="4" w:space="0" w:color="auto"/>
            </w:tcBorders>
            <w:vAlign w:val="center"/>
            <w:hideMark/>
          </w:tcPr>
          <w:p w14:paraId="0B901B76" w14:textId="77777777" w:rsidR="004B6A43" w:rsidRPr="004B6A43" w:rsidRDefault="004B6A43" w:rsidP="00344AF5">
            <w:pPr>
              <w:spacing w:after="0"/>
              <w:rPr>
                <w:rFonts w:ascii="Arial" w:eastAsia="Times New Roman" w:hAnsi="Arial" w:cs="Arial"/>
                <w:color w:val="595959"/>
                <w:sz w:val="18"/>
                <w:szCs w:val="18"/>
              </w:rPr>
            </w:pPr>
          </w:p>
        </w:tc>
        <w:tc>
          <w:tcPr>
            <w:tcW w:w="2421" w:type="dxa"/>
            <w:tcBorders>
              <w:top w:val="nil"/>
              <w:left w:val="single" w:sz="4" w:space="0" w:color="auto"/>
              <w:bottom w:val="single" w:sz="4" w:space="0" w:color="auto"/>
              <w:right w:val="nil"/>
            </w:tcBorders>
            <w:shd w:val="clear" w:color="auto" w:fill="FBFAF8"/>
            <w:vAlign w:val="center"/>
            <w:hideMark/>
          </w:tcPr>
          <w:p w14:paraId="327A37A3" w14:textId="77777777" w:rsidR="004B6A43" w:rsidRPr="004B6A43" w:rsidRDefault="004B6A43" w:rsidP="00344AF5">
            <w:pPr>
              <w:spacing w:after="0" w:line="240" w:lineRule="auto"/>
              <w:rPr>
                <w:rFonts w:ascii="Arial" w:eastAsia="Times New Roman" w:hAnsi="Arial" w:cs="Arial"/>
                <w:color w:val="000000"/>
                <w:sz w:val="18"/>
                <w:szCs w:val="18"/>
              </w:rPr>
            </w:pPr>
            <w:r w:rsidRPr="004B6A43">
              <w:rPr>
                <w:rFonts w:ascii="Arial" w:hAnsi="Arial" w:cs="Arial"/>
                <w:b/>
                <w:bCs/>
                <w:color w:val="44546A"/>
                <w:sz w:val="18"/>
                <w:szCs w:val="18"/>
              </w:rPr>
              <w:t>% to Plan in Progress</w:t>
            </w:r>
          </w:p>
        </w:tc>
        <w:tc>
          <w:tcPr>
            <w:tcW w:w="1381" w:type="dxa"/>
            <w:tcBorders>
              <w:top w:val="nil"/>
              <w:left w:val="nil"/>
              <w:bottom w:val="single" w:sz="4" w:space="0" w:color="auto"/>
              <w:right w:val="nil"/>
            </w:tcBorders>
            <w:shd w:val="clear" w:color="000000" w:fill="FBFAF8"/>
            <w:vAlign w:val="center"/>
            <w:hideMark/>
          </w:tcPr>
          <w:p w14:paraId="15B543C8"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b/>
                <w:bCs/>
                <w:color w:val="44546A"/>
                <w:sz w:val="18"/>
                <w:szCs w:val="18"/>
              </w:rPr>
              <w:t>155%</w:t>
            </w:r>
          </w:p>
        </w:tc>
        <w:tc>
          <w:tcPr>
            <w:tcW w:w="1449" w:type="dxa"/>
            <w:tcBorders>
              <w:top w:val="nil"/>
              <w:left w:val="nil"/>
              <w:bottom w:val="single" w:sz="4" w:space="0" w:color="auto"/>
              <w:right w:val="nil"/>
            </w:tcBorders>
            <w:shd w:val="clear" w:color="000000" w:fill="FBFAF8"/>
            <w:vAlign w:val="center"/>
            <w:hideMark/>
          </w:tcPr>
          <w:p w14:paraId="65F601C8"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b/>
                <w:bCs/>
                <w:color w:val="44546A"/>
                <w:sz w:val="18"/>
                <w:szCs w:val="18"/>
              </w:rPr>
              <w:t>45%</w:t>
            </w:r>
          </w:p>
        </w:tc>
        <w:tc>
          <w:tcPr>
            <w:tcW w:w="1568" w:type="dxa"/>
            <w:tcBorders>
              <w:top w:val="nil"/>
              <w:left w:val="nil"/>
              <w:bottom w:val="single" w:sz="4" w:space="0" w:color="auto"/>
              <w:right w:val="nil"/>
            </w:tcBorders>
            <w:shd w:val="clear" w:color="000000" w:fill="FBFAF8"/>
            <w:vAlign w:val="center"/>
            <w:hideMark/>
          </w:tcPr>
          <w:p w14:paraId="29AF435A"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b/>
                <w:bCs/>
                <w:color w:val="44546A"/>
                <w:sz w:val="18"/>
                <w:szCs w:val="18"/>
              </w:rPr>
              <w:t>35%</w:t>
            </w:r>
          </w:p>
        </w:tc>
        <w:tc>
          <w:tcPr>
            <w:tcW w:w="1366" w:type="dxa"/>
            <w:tcBorders>
              <w:top w:val="nil"/>
              <w:left w:val="nil"/>
              <w:bottom w:val="single" w:sz="4" w:space="0" w:color="auto"/>
              <w:right w:val="single" w:sz="4" w:space="0" w:color="auto"/>
            </w:tcBorders>
            <w:shd w:val="clear" w:color="000000" w:fill="FBFAF8"/>
            <w:vAlign w:val="center"/>
            <w:hideMark/>
          </w:tcPr>
          <w:p w14:paraId="43B7AA8A" w14:textId="77777777" w:rsidR="004B6A43" w:rsidRPr="004B6A43" w:rsidRDefault="004B6A43" w:rsidP="00344AF5">
            <w:pPr>
              <w:spacing w:after="0" w:line="240" w:lineRule="auto"/>
              <w:jc w:val="center"/>
              <w:rPr>
                <w:rFonts w:ascii="Arial" w:eastAsia="Times New Roman" w:hAnsi="Arial" w:cs="Arial"/>
                <w:color w:val="000000"/>
                <w:sz w:val="18"/>
                <w:szCs w:val="18"/>
              </w:rPr>
            </w:pPr>
            <w:r w:rsidRPr="004B6A43">
              <w:rPr>
                <w:rFonts w:ascii="Arial" w:hAnsi="Arial" w:cs="Arial"/>
                <w:b/>
                <w:bCs/>
                <w:color w:val="44546A"/>
                <w:sz w:val="18"/>
                <w:szCs w:val="18"/>
              </w:rPr>
              <w:t>33%</w:t>
            </w:r>
          </w:p>
        </w:tc>
      </w:tr>
      <w:tr w:rsidR="004B6A43" w:rsidRPr="004B6A43" w14:paraId="149C53A9" w14:textId="77777777" w:rsidTr="004B6A43">
        <w:trPr>
          <w:trHeight w:val="186"/>
        </w:trPr>
        <w:tc>
          <w:tcPr>
            <w:tcW w:w="435" w:type="dxa"/>
            <w:shd w:val="clear" w:color="auto" w:fill="FFFFFF"/>
            <w:noWrap/>
            <w:vAlign w:val="center"/>
            <w:hideMark/>
          </w:tcPr>
          <w:p w14:paraId="076066D1" w14:textId="77777777" w:rsidR="004B6A43" w:rsidRPr="004B6A43" w:rsidRDefault="004B6A43" w:rsidP="00344AF5">
            <w:pPr>
              <w:spacing w:after="0" w:line="240" w:lineRule="auto"/>
              <w:rPr>
                <w:rFonts w:ascii="Euphemia" w:eastAsia="Times New Roman" w:hAnsi="Euphemia" w:cs="Times New Roman"/>
                <w:color w:val="595959"/>
                <w:sz w:val="18"/>
                <w:szCs w:val="18"/>
              </w:rPr>
            </w:pPr>
          </w:p>
        </w:tc>
        <w:tc>
          <w:tcPr>
            <w:tcW w:w="8185" w:type="dxa"/>
            <w:gridSpan w:val="5"/>
            <w:shd w:val="clear" w:color="auto" w:fill="FFFFFF"/>
            <w:noWrap/>
            <w:vAlign w:val="center"/>
            <w:hideMark/>
          </w:tcPr>
          <w:p w14:paraId="18551F3E" w14:textId="77777777" w:rsidR="004B6A43" w:rsidRPr="004B6A43" w:rsidRDefault="004B6A43" w:rsidP="00344AF5">
            <w:pPr>
              <w:spacing w:after="0" w:line="240" w:lineRule="auto"/>
              <w:rPr>
                <w:rFonts w:ascii="Euphemia" w:eastAsia="Times New Roman" w:hAnsi="Euphemia" w:cs="Times New Roman"/>
                <w:color w:val="595959"/>
                <w:sz w:val="18"/>
                <w:szCs w:val="18"/>
              </w:rPr>
            </w:pPr>
            <w:r w:rsidRPr="004B6A43">
              <w:rPr>
                <w:rFonts w:ascii="Calibri Light" w:hAnsi="Calibri Light" w:cs="Calibri Light"/>
                <w:color w:val="595959"/>
                <w:sz w:val="18"/>
                <w:szCs w:val="18"/>
              </w:rPr>
              <w:t xml:space="preserve">[1] therms based queue volume x 2021 avg them/application de-rated for AEG CPA values </w:t>
            </w:r>
          </w:p>
        </w:tc>
      </w:tr>
      <w:tr w:rsidR="004B6A43" w:rsidRPr="004B6A43" w14:paraId="183C8317" w14:textId="77777777" w:rsidTr="004B6A43">
        <w:trPr>
          <w:trHeight w:val="186"/>
        </w:trPr>
        <w:tc>
          <w:tcPr>
            <w:tcW w:w="435" w:type="dxa"/>
            <w:noWrap/>
            <w:vAlign w:val="center"/>
          </w:tcPr>
          <w:p w14:paraId="4C422E78" w14:textId="77777777" w:rsidR="004B6A43" w:rsidRPr="004B6A43" w:rsidRDefault="004B6A43" w:rsidP="00344AF5">
            <w:pPr>
              <w:spacing w:after="0" w:line="240" w:lineRule="auto"/>
              <w:rPr>
                <w:rFonts w:ascii="Euphemia" w:eastAsia="Times New Roman" w:hAnsi="Euphemia" w:cs="Times New Roman"/>
                <w:color w:val="595959"/>
                <w:sz w:val="18"/>
                <w:szCs w:val="18"/>
              </w:rPr>
            </w:pPr>
          </w:p>
        </w:tc>
        <w:tc>
          <w:tcPr>
            <w:tcW w:w="8185" w:type="dxa"/>
            <w:gridSpan w:val="5"/>
            <w:shd w:val="clear" w:color="auto" w:fill="FFFFFF"/>
            <w:noWrap/>
            <w:vAlign w:val="center"/>
          </w:tcPr>
          <w:p w14:paraId="21FD94A7" w14:textId="77777777" w:rsidR="004B6A43" w:rsidRPr="004B6A43" w:rsidRDefault="004B6A43" w:rsidP="00344AF5">
            <w:pPr>
              <w:spacing w:after="0" w:line="240" w:lineRule="auto"/>
              <w:rPr>
                <w:rFonts w:ascii="Euphemia" w:eastAsia="Times New Roman" w:hAnsi="Euphemia" w:cs="Times New Roman"/>
                <w:color w:val="595959"/>
                <w:sz w:val="18"/>
                <w:szCs w:val="18"/>
              </w:rPr>
            </w:pPr>
            <w:r w:rsidRPr="004B6A43">
              <w:rPr>
                <w:rFonts w:ascii="Calibri Light" w:hAnsi="Calibri Light" w:cs="Calibri Light"/>
                <w:color w:val="595959"/>
                <w:sz w:val="18"/>
                <w:szCs w:val="18"/>
              </w:rPr>
              <w:t>[2] therms based on builder applications in progress x 2021 avg them/application de-rated for AEG CPA values for new home builders.</w:t>
            </w:r>
          </w:p>
        </w:tc>
      </w:tr>
    </w:tbl>
    <w:p w14:paraId="5218020C" w14:textId="77777777" w:rsidR="00184399" w:rsidRPr="00184399" w:rsidRDefault="00184399" w:rsidP="00184399"/>
    <w:p w14:paraId="59929945" w14:textId="4CDA4667" w:rsidR="00C334F0" w:rsidRDefault="00C334F0" w:rsidP="00C334F0">
      <w:pPr>
        <w:pStyle w:val="Heading5"/>
        <w:ind w:left="1080"/>
      </w:pPr>
      <w:r>
        <w:lastRenderedPageBreak/>
        <w:t xml:space="preserve">Residential Therms Achieved </w:t>
      </w:r>
      <w:r w:rsidR="00427AD5">
        <w:t>by Mon</w:t>
      </w:r>
      <w:r w:rsidR="002B7269">
        <w:t>th</w:t>
      </w:r>
      <w:r w:rsidR="00941825">
        <w:t xml:space="preserve"> </w:t>
      </w:r>
      <w:r w:rsidR="002B7269">
        <w:t>- 202</w:t>
      </w:r>
      <w:r w:rsidR="004B6A43">
        <w:t>1</w:t>
      </w:r>
    </w:p>
    <w:p w14:paraId="74C6205C" w14:textId="17C17B5A" w:rsidR="00B4271E" w:rsidRPr="00B4271E" w:rsidRDefault="004B6A43" w:rsidP="00B4271E">
      <w:pPr>
        <w:ind w:left="1440"/>
      </w:pPr>
      <w:r>
        <w:drawing>
          <wp:inline distT="0" distB="0" distL="0" distR="0" wp14:anchorId="74A5FD4A" wp14:editId="5F93AB8A">
            <wp:extent cx="5429250" cy="2495550"/>
            <wp:effectExtent l="0" t="0" r="0" b="0"/>
            <wp:docPr id="1" name="Chart 1">
              <a:extLst xmlns:a="http://schemas.openxmlformats.org/drawingml/2006/main">
                <a:ext uri="{FF2B5EF4-FFF2-40B4-BE49-F238E27FC236}">
                  <a16:creationId xmlns:a16="http://schemas.microsoft.com/office/drawing/2014/main" id="{D8ADB206-F544-42EA-8D76-11BC63454B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A82A760" w14:textId="73C87318" w:rsidR="00250465" w:rsidRDefault="00250465" w:rsidP="00250465">
      <w:pPr>
        <w:pStyle w:val="Heading5"/>
        <w:ind w:left="1080"/>
      </w:pPr>
      <w:r>
        <w:t xml:space="preserve">Residential Therms Goal: </w:t>
      </w:r>
      <w:r w:rsidR="004B6A43">
        <w:t>471,164</w:t>
      </w:r>
    </w:p>
    <w:p w14:paraId="53E8B842" w14:textId="2D4AA2D7" w:rsidR="00A63C9D" w:rsidRDefault="004B6A43" w:rsidP="001F007C">
      <w:pPr>
        <w:ind w:left="1440"/>
      </w:pPr>
      <w:r>
        <w:drawing>
          <wp:inline distT="0" distB="0" distL="0" distR="0" wp14:anchorId="2355EC9F" wp14:editId="5330F17A">
            <wp:extent cx="5457825" cy="13335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4EE6E16" w14:textId="588F516D" w:rsidR="00364416" w:rsidRDefault="00364416" w:rsidP="00364416">
      <w:pPr>
        <w:pStyle w:val="Heading5"/>
        <w:ind w:left="1080"/>
      </w:pPr>
      <w:r>
        <w:t xml:space="preserve">Residential Monthly Application receipts </w:t>
      </w:r>
      <w:r w:rsidR="002B7269">
        <w:t>201</w:t>
      </w:r>
      <w:r w:rsidR="004B6A43">
        <w:t>8</w:t>
      </w:r>
      <w:r w:rsidR="002B7269">
        <w:t>-202</w:t>
      </w:r>
      <w:r w:rsidR="004B6A43">
        <w:t>1</w:t>
      </w:r>
    </w:p>
    <w:p w14:paraId="566E1B0B" w14:textId="149FF00B" w:rsidR="00184399" w:rsidRDefault="00456679" w:rsidP="00402363">
      <w:pPr>
        <w:pStyle w:val="Heading3"/>
        <w:ind w:left="1440"/>
        <w:rPr>
          <w:u w:val="single"/>
        </w:rPr>
      </w:pPr>
      <w:r>
        <w:drawing>
          <wp:inline distT="0" distB="0" distL="0" distR="0" wp14:anchorId="56C89B9A" wp14:editId="21DA86D5">
            <wp:extent cx="5076825" cy="2390775"/>
            <wp:effectExtent l="0" t="0" r="9525" b="9525"/>
            <wp:docPr id="3" name="Chart 3">
              <a:extLst xmlns:a="http://schemas.openxmlformats.org/drawingml/2006/main">
                <a:ext uri="{FF2B5EF4-FFF2-40B4-BE49-F238E27FC236}">
                  <a16:creationId xmlns:a16="http://schemas.microsoft.com/office/drawing/2014/main" id="{681CB8C0-2005-434D-8BB1-887F07DEE9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bookmarkEnd w:id="1"/>
    <w:p w14:paraId="58858B55" w14:textId="0EF2471F" w:rsidR="00456679" w:rsidRDefault="00456679" w:rsidP="00456679">
      <w:pPr>
        <w:pStyle w:val="ListParagraph"/>
        <w:numPr>
          <w:ilvl w:val="0"/>
          <w:numId w:val="25"/>
        </w:numPr>
      </w:pPr>
      <w:r>
        <w:t xml:space="preserve">The Monthly Application receipt figure currently forecasts an increase to the October applications based on last year’s large builder submission. This forecast will be normalized next </w:t>
      </w:r>
      <w:r>
        <w:lastRenderedPageBreak/>
        <w:t xml:space="preserve">month as the program does not expect to receive a similar influx of builder applications in 2021, partially due to Building Code updates that went into effect in February </w:t>
      </w:r>
    </w:p>
    <w:p w14:paraId="69F46B44" w14:textId="4E4C19C5" w:rsidR="00EF3CE0" w:rsidRDefault="00EF3CE0" w:rsidP="001A6D07">
      <w:pPr>
        <w:pStyle w:val="Heading3"/>
        <w:numPr>
          <w:ilvl w:val="0"/>
          <w:numId w:val="20"/>
        </w:numPr>
      </w:pPr>
      <w:r>
        <w:t>Annual Report Updates</w:t>
      </w:r>
    </w:p>
    <w:p w14:paraId="3A9ABB75" w14:textId="68D886EC" w:rsidR="00EF3CE0" w:rsidRDefault="00EF3CE0" w:rsidP="00EF3CE0">
      <w:pPr>
        <w:pStyle w:val="ListParagraph"/>
        <w:numPr>
          <w:ilvl w:val="0"/>
          <w:numId w:val="24"/>
        </w:numPr>
      </w:pPr>
      <w:r>
        <w:t xml:space="preserve">The Annual Report work is progressing and is in </w:t>
      </w:r>
      <w:r w:rsidR="004603E2">
        <w:t xml:space="preserve">internal </w:t>
      </w:r>
      <w:r>
        <w:t>review. The DRAFT will be delivered to the CAG by COB April 30</w:t>
      </w:r>
      <w:r w:rsidRPr="00EF3CE0">
        <w:rPr>
          <w:vertAlign w:val="superscript"/>
        </w:rPr>
        <w:t>th</w:t>
      </w:r>
      <w:r>
        <w:t xml:space="preserve">. </w:t>
      </w:r>
    </w:p>
    <w:p w14:paraId="7B839F90" w14:textId="28C0AC4E" w:rsidR="00EF3CE0" w:rsidRDefault="008251EA" w:rsidP="00EF3CE0">
      <w:pPr>
        <w:pStyle w:val="ListParagraph"/>
        <w:numPr>
          <w:ilvl w:val="0"/>
          <w:numId w:val="24"/>
        </w:numPr>
      </w:pPr>
      <w:r>
        <w:t xml:space="preserve">Preliminary Report </w:t>
      </w:r>
      <w:r w:rsidR="00EF3CE0">
        <w:t>highlight</w:t>
      </w:r>
      <w:r>
        <w:t>s</w:t>
      </w:r>
      <w:r w:rsidR="00EF3CE0">
        <w:t xml:space="preserve">: </w:t>
      </w:r>
    </w:p>
    <w:p w14:paraId="66254988" w14:textId="514B7588" w:rsidR="008251EA" w:rsidRDefault="008251EA" w:rsidP="006278A7">
      <w:pPr>
        <w:pStyle w:val="ListParagraph"/>
        <w:numPr>
          <w:ilvl w:val="1"/>
          <w:numId w:val="24"/>
        </w:numPr>
      </w:pPr>
      <w:r>
        <w:t>Residential Program met and exceeded goal by 17%, C/I program met 6</w:t>
      </w:r>
      <w:r w:rsidR="00C80B04">
        <w:t>9</w:t>
      </w:r>
      <w:r>
        <w:t xml:space="preserve">% of </w:t>
      </w:r>
      <w:r w:rsidR="004603E2">
        <w:t>its</w:t>
      </w:r>
      <w:r>
        <w:t xml:space="preserve"> goal and the LI program met 84% of goal</w:t>
      </w:r>
    </w:p>
    <w:p w14:paraId="01306DBC" w14:textId="1A81DA37" w:rsidR="008251EA" w:rsidRDefault="004603E2" w:rsidP="006278A7">
      <w:pPr>
        <w:pStyle w:val="ListParagraph"/>
        <w:numPr>
          <w:ilvl w:val="1"/>
          <w:numId w:val="24"/>
        </w:numPr>
      </w:pPr>
      <w:r>
        <w:t>Direct Benefit to Customer</w:t>
      </w:r>
      <w:r w:rsidR="008251EA">
        <w:t xml:space="preserve"> – 70% to 30%</w:t>
      </w:r>
      <w:r>
        <w:t xml:space="preserve"> program delivery costs</w:t>
      </w:r>
    </w:p>
    <w:p w14:paraId="77BC6678" w14:textId="5D0EA9F2" w:rsidR="004603E2" w:rsidRDefault="008251EA" w:rsidP="006278A7">
      <w:pPr>
        <w:pStyle w:val="ListParagraph"/>
        <w:numPr>
          <w:ilvl w:val="1"/>
          <w:numId w:val="24"/>
        </w:numPr>
      </w:pPr>
      <w:r>
        <w:t xml:space="preserve">The program stayed within all budgets set for </w:t>
      </w:r>
      <w:r w:rsidR="004603E2">
        <w:t>2020 with total program expenses equaling approximately $5.7 million</w:t>
      </w:r>
    </w:p>
    <w:p w14:paraId="11FC73FB" w14:textId="3F28AC24" w:rsidR="004603E2" w:rsidRDefault="004603E2" w:rsidP="00DC55B1">
      <w:pPr>
        <w:pStyle w:val="ListParagraph"/>
        <w:numPr>
          <w:ilvl w:val="1"/>
          <w:numId w:val="24"/>
        </w:numPr>
      </w:pPr>
      <w:r>
        <w:t xml:space="preserve">COVID-19 had an affect across the program offerings and each area is addressed within the annual report – including goal achievement, contractor delays, marketing adaptation, etc. </w:t>
      </w:r>
    </w:p>
    <w:tbl>
      <w:tblPr>
        <w:tblW w:w="7650" w:type="dxa"/>
        <w:tblInd w:w="132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752"/>
        <w:gridCol w:w="732"/>
        <w:gridCol w:w="228"/>
        <w:gridCol w:w="680"/>
        <w:gridCol w:w="388"/>
        <w:gridCol w:w="1350"/>
        <w:gridCol w:w="1283"/>
        <w:gridCol w:w="272"/>
        <w:gridCol w:w="965"/>
      </w:tblGrid>
      <w:tr w:rsidR="00EF3CE0" w:rsidRPr="00EF3CE0" w14:paraId="2EBF91F9" w14:textId="77777777" w:rsidTr="008251EA">
        <w:trPr>
          <w:gridAfter w:val="5"/>
          <w:wAfter w:w="4258" w:type="dxa"/>
          <w:trHeight w:val="268"/>
        </w:trPr>
        <w:tc>
          <w:tcPr>
            <w:tcW w:w="1752" w:type="dxa"/>
            <w:shd w:val="clear" w:color="000000" w:fill="D6E3BC"/>
            <w:vAlign w:val="center"/>
            <w:hideMark/>
          </w:tcPr>
          <w:p w14:paraId="038D51E6" w14:textId="69975A9D" w:rsidR="00EF3CE0" w:rsidRPr="00EF3CE0" w:rsidRDefault="00EF3CE0" w:rsidP="00EF3CE0">
            <w:pPr>
              <w:spacing w:after="0" w:line="240" w:lineRule="auto"/>
              <w:rPr>
                <w:rFonts w:ascii="Avenir LT Std 35 Light" w:eastAsia="Times New Roman" w:hAnsi="Avenir LT Std 35 Light" w:cs="Calibri"/>
                <w:i/>
                <w:iCs/>
                <w:color w:val="000000"/>
                <w:sz w:val="20"/>
                <w:szCs w:val="20"/>
              </w:rPr>
            </w:pPr>
            <w:r w:rsidRPr="00EF3CE0">
              <w:rPr>
                <w:rFonts w:ascii="Avenir LT Std 35 Light" w:eastAsia="Times New Roman" w:hAnsi="Avenir LT Std 35 Light" w:cs="Calibri"/>
                <w:i/>
                <w:iCs/>
                <w:color w:val="000000"/>
                <w:sz w:val="20"/>
                <w:szCs w:val="20"/>
              </w:rPr>
              <w:t>Cost Effectiveness</w:t>
            </w:r>
          </w:p>
        </w:tc>
        <w:tc>
          <w:tcPr>
            <w:tcW w:w="960" w:type="dxa"/>
            <w:gridSpan w:val="2"/>
            <w:shd w:val="clear" w:color="000000" w:fill="D6E3BC"/>
            <w:vAlign w:val="center"/>
            <w:hideMark/>
          </w:tcPr>
          <w:p w14:paraId="5F8B9E53" w14:textId="77777777" w:rsidR="00EF3CE0" w:rsidRPr="00EF3CE0" w:rsidRDefault="00EF3CE0" w:rsidP="00EF3CE0">
            <w:pPr>
              <w:spacing w:after="0" w:line="240" w:lineRule="auto"/>
              <w:rPr>
                <w:rFonts w:ascii="Avenir LT Std 35 Light" w:eastAsia="Times New Roman" w:hAnsi="Avenir LT Std 35 Light" w:cs="Calibri"/>
                <w:b/>
                <w:bCs/>
                <w:color w:val="000000"/>
                <w:sz w:val="20"/>
                <w:szCs w:val="20"/>
              </w:rPr>
            </w:pPr>
            <w:r w:rsidRPr="00EF3CE0">
              <w:rPr>
                <w:rFonts w:ascii="Avenir LT Std 35 Light" w:eastAsia="Times New Roman" w:hAnsi="Avenir LT Std 35 Light" w:cs="Calibri"/>
                <w:b/>
                <w:bCs/>
                <w:color w:val="000000"/>
                <w:sz w:val="20"/>
                <w:szCs w:val="20"/>
              </w:rPr>
              <w:t>UCT</w:t>
            </w:r>
          </w:p>
        </w:tc>
        <w:tc>
          <w:tcPr>
            <w:tcW w:w="680" w:type="dxa"/>
            <w:shd w:val="clear" w:color="000000" w:fill="D6E3BC"/>
            <w:vAlign w:val="center"/>
            <w:hideMark/>
          </w:tcPr>
          <w:p w14:paraId="0A45B1B8" w14:textId="77777777" w:rsidR="00EF3CE0" w:rsidRPr="00EF3CE0" w:rsidRDefault="00EF3CE0" w:rsidP="00EF3CE0">
            <w:pPr>
              <w:spacing w:after="0" w:line="240" w:lineRule="auto"/>
              <w:rPr>
                <w:rFonts w:ascii="Avenir LT Std 35 Light" w:eastAsia="Times New Roman" w:hAnsi="Avenir LT Std 35 Light" w:cs="Calibri"/>
                <w:b/>
                <w:bCs/>
                <w:color w:val="000000"/>
                <w:sz w:val="20"/>
                <w:szCs w:val="20"/>
              </w:rPr>
            </w:pPr>
            <w:r w:rsidRPr="00EF3CE0">
              <w:rPr>
                <w:rFonts w:ascii="Avenir LT Std 35 Light" w:eastAsia="Times New Roman" w:hAnsi="Avenir LT Std 35 Light" w:cs="Calibri"/>
                <w:b/>
                <w:bCs/>
                <w:color w:val="000000"/>
                <w:sz w:val="20"/>
                <w:szCs w:val="20"/>
              </w:rPr>
              <w:t>TRC</w:t>
            </w:r>
          </w:p>
        </w:tc>
      </w:tr>
      <w:tr w:rsidR="00EF3CE0" w:rsidRPr="00EF3CE0" w14:paraId="2AF26E01" w14:textId="77777777" w:rsidTr="008251EA">
        <w:trPr>
          <w:gridAfter w:val="5"/>
          <w:wAfter w:w="4258" w:type="dxa"/>
          <w:trHeight w:val="60"/>
        </w:trPr>
        <w:tc>
          <w:tcPr>
            <w:tcW w:w="1752" w:type="dxa"/>
            <w:shd w:val="clear" w:color="auto" w:fill="auto"/>
            <w:vAlign w:val="center"/>
            <w:hideMark/>
          </w:tcPr>
          <w:p w14:paraId="064FC4CB" w14:textId="77777777" w:rsidR="00EF3CE0" w:rsidRPr="00EF3CE0" w:rsidRDefault="00EF3CE0" w:rsidP="00EF3CE0">
            <w:pPr>
              <w:spacing w:after="0" w:line="240" w:lineRule="auto"/>
              <w:rPr>
                <w:rFonts w:ascii="Avenir LT Std 35 Light" w:eastAsia="Times New Roman" w:hAnsi="Avenir LT Std 35 Light" w:cs="Calibri"/>
                <w:b/>
                <w:bCs/>
                <w:color w:val="000000"/>
                <w:sz w:val="20"/>
                <w:szCs w:val="20"/>
              </w:rPr>
            </w:pPr>
            <w:r w:rsidRPr="00EF3CE0">
              <w:rPr>
                <w:rFonts w:ascii="Avenir LT Std 35 Light" w:eastAsia="Times New Roman" w:hAnsi="Avenir LT Std 35 Light" w:cs="Calibri"/>
                <w:b/>
                <w:bCs/>
                <w:color w:val="000000"/>
                <w:sz w:val="20"/>
                <w:szCs w:val="20"/>
              </w:rPr>
              <w:t>Residential</w:t>
            </w:r>
          </w:p>
        </w:tc>
        <w:tc>
          <w:tcPr>
            <w:tcW w:w="960" w:type="dxa"/>
            <w:gridSpan w:val="2"/>
            <w:shd w:val="clear" w:color="auto" w:fill="auto"/>
            <w:vAlign w:val="center"/>
            <w:hideMark/>
          </w:tcPr>
          <w:p w14:paraId="3D3D503A" w14:textId="77777777" w:rsidR="00EF3CE0" w:rsidRPr="00EF3CE0" w:rsidRDefault="00EF3CE0" w:rsidP="00EF3CE0">
            <w:pPr>
              <w:spacing w:after="0" w:line="240" w:lineRule="auto"/>
              <w:rPr>
                <w:rFonts w:ascii="Avenir LT Std 35 Light" w:eastAsia="Times New Roman" w:hAnsi="Avenir LT Std 35 Light" w:cs="Calibri"/>
                <w:color w:val="000000"/>
                <w:sz w:val="20"/>
                <w:szCs w:val="20"/>
              </w:rPr>
            </w:pPr>
            <w:r w:rsidRPr="00EF3CE0">
              <w:rPr>
                <w:rFonts w:ascii="Avenir LT Std 35 Light" w:eastAsia="Times New Roman" w:hAnsi="Avenir LT Std 35 Light" w:cs="Calibri"/>
                <w:color w:val="000000"/>
                <w:sz w:val="20"/>
                <w:szCs w:val="20"/>
              </w:rPr>
              <w:t>1.78</w:t>
            </w:r>
          </w:p>
        </w:tc>
        <w:tc>
          <w:tcPr>
            <w:tcW w:w="680" w:type="dxa"/>
            <w:shd w:val="clear" w:color="auto" w:fill="auto"/>
            <w:vAlign w:val="center"/>
            <w:hideMark/>
          </w:tcPr>
          <w:p w14:paraId="743B888D" w14:textId="77777777" w:rsidR="00EF3CE0" w:rsidRPr="00EF3CE0" w:rsidRDefault="00EF3CE0" w:rsidP="00EF3CE0">
            <w:pPr>
              <w:spacing w:after="0" w:line="240" w:lineRule="auto"/>
              <w:rPr>
                <w:rFonts w:ascii="Avenir LT Std 35 Light" w:eastAsia="Times New Roman" w:hAnsi="Avenir LT Std 35 Light" w:cs="Calibri"/>
                <w:color w:val="000000"/>
                <w:sz w:val="20"/>
                <w:szCs w:val="20"/>
              </w:rPr>
            </w:pPr>
            <w:r w:rsidRPr="00EF3CE0">
              <w:rPr>
                <w:rFonts w:ascii="Avenir LT Std 35 Light" w:eastAsia="Times New Roman" w:hAnsi="Avenir LT Std 35 Light" w:cs="Calibri"/>
                <w:color w:val="000000"/>
                <w:sz w:val="20"/>
                <w:szCs w:val="20"/>
              </w:rPr>
              <w:t>1.36</w:t>
            </w:r>
          </w:p>
        </w:tc>
      </w:tr>
      <w:tr w:rsidR="00EF3CE0" w:rsidRPr="00EF3CE0" w14:paraId="6B19C2D6" w14:textId="77777777" w:rsidTr="008251EA">
        <w:trPr>
          <w:gridAfter w:val="5"/>
          <w:wAfter w:w="4258" w:type="dxa"/>
          <w:trHeight w:val="60"/>
        </w:trPr>
        <w:tc>
          <w:tcPr>
            <w:tcW w:w="1752" w:type="dxa"/>
            <w:shd w:val="clear" w:color="auto" w:fill="auto"/>
            <w:vAlign w:val="center"/>
            <w:hideMark/>
          </w:tcPr>
          <w:p w14:paraId="3172DBAE" w14:textId="77777777" w:rsidR="00EF3CE0" w:rsidRPr="00EF3CE0" w:rsidRDefault="00EF3CE0" w:rsidP="00EF3CE0">
            <w:pPr>
              <w:spacing w:after="0" w:line="240" w:lineRule="auto"/>
              <w:rPr>
                <w:rFonts w:ascii="Avenir LT Std 35 Light" w:eastAsia="Times New Roman" w:hAnsi="Avenir LT Std 35 Light" w:cs="Calibri"/>
                <w:b/>
                <w:bCs/>
                <w:color w:val="000000"/>
                <w:sz w:val="20"/>
                <w:szCs w:val="20"/>
              </w:rPr>
            </w:pPr>
            <w:r w:rsidRPr="00EF3CE0">
              <w:rPr>
                <w:rFonts w:ascii="Avenir LT Std 35 Light" w:eastAsia="Times New Roman" w:hAnsi="Avenir LT Std 35 Light" w:cs="Calibri"/>
                <w:b/>
                <w:bCs/>
                <w:color w:val="000000"/>
                <w:sz w:val="20"/>
                <w:szCs w:val="20"/>
              </w:rPr>
              <w:t>Commercial</w:t>
            </w:r>
          </w:p>
        </w:tc>
        <w:tc>
          <w:tcPr>
            <w:tcW w:w="960" w:type="dxa"/>
            <w:gridSpan w:val="2"/>
            <w:shd w:val="clear" w:color="auto" w:fill="auto"/>
            <w:vAlign w:val="center"/>
            <w:hideMark/>
          </w:tcPr>
          <w:p w14:paraId="1E626859" w14:textId="77777777" w:rsidR="00EF3CE0" w:rsidRPr="00EF3CE0" w:rsidRDefault="00EF3CE0" w:rsidP="00EF3CE0">
            <w:pPr>
              <w:spacing w:after="0" w:line="240" w:lineRule="auto"/>
              <w:rPr>
                <w:rFonts w:ascii="Avenir LT Std 35 Light" w:eastAsia="Times New Roman" w:hAnsi="Avenir LT Std 35 Light" w:cs="Calibri"/>
                <w:color w:val="000000"/>
                <w:sz w:val="20"/>
                <w:szCs w:val="20"/>
              </w:rPr>
            </w:pPr>
            <w:r w:rsidRPr="00EF3CE0">
              <w:rPr>
                <w:rFonts w:ascii="Avenir LT Std 35 Light" w:eastAsia="Times New Roman" w:hAnsi="Avenir LT Std 35 Light" w:cs="Calibri"/>
                <w:color w:val="000000"/>
                <w:sz w:val="20"/>
                <w:szCs w:val="20"/>
              </w:rPr>
              <w:t>1.35</w:t>
            </w:r>
          </w:p>
        </w:tc>
        <w:tc>
          <w:tcPr>
            <w:tcW w:w="680" w:type="dxa"/>
            <w:shd w:val="clear" w:color="auto" w:fill="auto"/>
            <w:vAlign w:val="center"/>
            <w:hideMark/>
          </w:tcPr>
          <w:p w14:paraId="4049D268" w14:textId="77777777" w:rsidR="00EF3CE0" w:rsidRPr="00EF3CE0" w:rsidRDefault="00EF3CE0" w:rsidP="00EF3CE0">
            <w:pPr>
              <w:spacing w:after="0" w:line="240" w:lineRule="auto"/>
              <w:rPr>
                <w:rFonts w:ascii="Avenir LT Std 35 Light" w:eastAsia="Times New Roman" w:hAnsi="Avenir LT Std 35 Light" w:cs="Calibri"/>
                <w:color w:val="000000"/>
                <w:sz w:val="20"/>
                <w:szCs w:val="20"/>
              </w:rPr>
            </w:pPr>
            <w:r w:rsidRPr="00EF3CE0">
              <w:rPr>
                <w:rFonts w:ascii="Avenir LT Std 35 Light" w:eastAsia="Times New Roman" w:hAnsi="Avenir LT Std 35 Light" w:cs="Calibri"/>
                <w:color w:val="000000"/>
                <w:sz w:val="20"/>
                <w:szCs w:val="20"/>
              </w:rPr>
              <w:t>1.39</w:t>
            </w:r>
          </w:p>
        </w:tc>
      </w:tr>
      <w:tr w:rsidR="00EF3CE0" w:rsidRPr="00EF3CE0" w14:paraId="72F1B6C8" w14:textId="77777777" w:rsidTr="008251EA">
        <w:trPr>
          <w:gridAfter w:val="5"/>
          <w:wAfter w:w="4258" w:type="dxa"/>
          <w:trHeight w:val="60"/>
        </w:trPr>
        <w:tc>
          <w:tcPr>
            <w:tcW w:w="1752" w:type="dxa"/>
            <w:shd w:val="clear" w:color="auto" w:fill="auto"/>
            <w:vAlign w:val="center"/>
            <w:hideMark/>
          </w:tcPr>
          <w:p w14:paraId="56546A87" w14:textId="77777777" w:rsidR="00EF3CE0" w:rsidRPr="00EF3CE0" w:rsidRDefault="00EF3CE0" w:rsidP="00EF3CE0">
            <w:pPr>
              <w:spacing w:after="0" w:line="240" w:lineRule="auto"/>
              <w:rPr>
                <w:rFonts w:ascii="Avenir LT Std 35 Light" w:eastAsia="Times New Roman" w:hAnsi="Avenir LT Std 35 Light" w:cs="Calibri"/>
                <w:b/>
                <w:bCs/>
                <w:color w:val="000000"/>
                <w:sz w:val="20"/>
                <w:szCs w:val="20"/>
              </w:rPr>
            </w:pPr>
            <w:r w:rsidRPr="00EF3CE0">
              <w:rPr>
                <w:rFonts w:ascii="Avenir LT Std 35 Light" w:eastAsia="Times New Roman" w:hAnsi="Avenir LT Std 35 Light" w:cs="Calibri"/>
                <w:b/>
                <w:bCs/>
                <w:color w:val="000000"/>
                <w:sz w:val="20"/>
                <w:szCs w:val="20"/>
              </w:rPr>
              <w:t>Portfolio</w:t>
            </w:r>
          </w:p>
        </w:tc>
        <w:tc>
          <w:tcPr>
            <w:tcW w:w="960" w:type="dxa"/>
            <w:gridSpan w:val="2"/>
            <w:shd w:val="clear" w:color="auto" w:fill="auto"/>
            <w:vAlign w:val="center"/>
            <w:hideMark/>
          </w:tcPr>
          <w:p w14:paraId="7F878E56" w14:textId="77777777" w:rsidR="00EF3CE0" w:rsidRPr="00EF3CE0" w:rsidRDefault="00EF3CE0" w:rsidP="00EF3CE0">
            <w:pPr>
              <w:spacing w:after="0" w:line="240" w:lineRule="auto"/>
              <w:rPr>
                <w:rFonts w:ascii="Avenir LT Std 35 Light" w:eastAsia="Times New Roman" w:hAnsi="Avenir LT Std 35 Light" w:cs="Calibri"/>
                <w:b/>
                <w:bCs/>
                <w:color w:val="000000"/>
                <w:sz w:val="20"/>
                <w:szCs w:val="20"/>
              </w:rPr>
            </w:pPr>
            <w:r w:rsidRPr="00EF3CE0">
              <w:rPr>
                <w:rFonts w:ascii="Avenir LT Std 35 Light" w:eastAsia="Times New Roman" w:hAnsi="Avenir LT Std 35 Light" w:cs="Calibri"/>
                <w:b/>
                <w:bCs/>
                <w:color w:val="000000"/>
                <w:sz w:val="20"/>
                <w:szCs w:val="20"/>
              </w:rPr>
              <w:t>1.60</w:t>
            </w:r>
          </w:p>
        </w:tc>
        <w:tc>
          <w:tcPr>
            <w:tcW w:w="680" w:type="dxa"/>
            <w:shd w:val="clear" w:color="auto" w:fill="auto"/>
            <w:vAlign w:val="center"/>
            <w:hideMark/>
          </w:tcPr>
          <w:p w14:paraId="0E6C7C85" w14:textId="77777777" w:rsidR="00EF3CE0" w:rsidRPr="00EF3CE0" w:rsidRDefault="00EF3CE0" w:rsidP="00EF3CE0">
            <w:pPr>
              <w:spacing w:after="0" w:line="240" w:lineRule="auto"/>
              <w:rPr>
                <w:rFonts w:ascii="Avenir LT Std 35 Light" w:eastAsia="Times New Roman" w:hAnsi="Avenir LT Std 35 Light" w:cs="Calibri"/>
                <w:b/>
                <w:bCs/>
                <w:color w:val="000000"/>
                <w:sz w:val="20"/>
                <w:szCs w:val="20"/>
              </w:rPr>
            </w:pPr>
            <w:r w:rsidRPr="00EF3CE0">
              <w:rPr>
                <w:rFonts w:ascii="Avenir LT Std 35 Light" w:eastAsia="Times New Roman" w:hAnsi="Avenir LT Std 35 Light" w:cs="Calibri"/>
                <w:b/>
                <w:bCs/>
                <w:color w:val="000000"/>
                <w:sz w:val="20"/>
                <w:szCs w:val="20"/>
              </w:rPr>
              <w:t>1.37</w:t>
            </w:r>
          </w:p>
        </w:tc>
      </w:tr>
      <w:tr w:rsidR="008251EA" w:rsidRPr="008251EA" w14:paraId="067C5E03" w14:textId="77777777" w:rsidTr="0082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3"/>
        </w:trPr>
        <w:tc>
          <w:tcPr>
            <w:tcW w:w="2484" w:type="dxa"/>
            <w:gridSpan w:val="2"/>
            <w:tcBorders>
              <w:top w:val="single" w:sz="8" w:space="0" w:color="auto"/>
              <w:left w:val="single" w:sz="8" w:space="0" w:color="auto"/>
              <w:bottom w:val="single" w:sz="8" w:space="0" w:color="auto"/>
              <w:right w:val="single" w:sz="8" w:space="0" w:color="auto"/>
            </w:tcBorders>
            <w:shd w:val="clear" w:color="000000" w:fill="D6E3BC"/>
            <w:vAlign w:val="center"/>
            <w:hideMark/>
          </w:tcPr>
          <w:p w14:paraId="2462889E" w14:textId="6CA280C6" w:rsidR="008251EA" w:rsidRPr="008251EA" w:rsidRDefault="008251EA" w:rsidP="008251EA">
            <w:pPr>
              <w:spacing w:after="0" w:line="240" w:lineRule="auto"/>
              <w:jc w:val="right"/>
              <w:rPr>
                <w:rFonts w:ascii="Avenir LT Std 35 Light" w:eastAsia="Times New Roman" w:hAnsi="Avenir LT Std 35 Light" w:cs="Calibri"/>
                <w:i/>
                <w:iCs/>
                <w:color w:val="000000"/>
                <w:sz w:val="20"/>
                <w:szCs w:val="20"/>
              </w:rPr>
            </w:pPr>
          </w:p>
        </w:tc>
        <w:tc>
          <w:tcPr>
            <w:tcW w:w="1296" w:type="dxa"/>
            <w:gridSpan w:val="3"/>
            <w:tcBorders>
              <w:top w:val="single" w:sz="8" w:space="0" w:color="auto"/>
              <w:left w:val="nil"/>
              <w:bottom w:val="single" w:sz="8" w:space="0" w:color="auto"/>
              <w:right w:val="single" w:sz="8" w:space="0" w:color="auto"/>
            </w:tcBorders>
            <w:shd w:val="clear" w:color="000000" w:fill="D6E3BC"/>
            <w:vAlign w:val="center"/>
            <w:hideMark/>
          </w:tcPr>
          <w:p w14:paraId="731FD190" w14:textId="77777777" w:rsidR="008251EA" w:rsidRPr="008251EA" w:rsidRDefault="008251EA" w:rsidP="008251EA">
            <w:pPr>
              <w:spacing w:after="0" w:line="240" w:lineRule="auto"/>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Residential</w:t>
            </w:r>
          </w:p>
        </w:tc>
        <w:tc>
          <w:tcPr>
            <w:tcW w:w="1350" w:type="dxa"/>
            <w:tcBorders>
              <w:top w:val="single" w:sz="8" w:space="0" w:color="auto"/>
              <w:left w:val="nil"/>
              <w:bottom w:val="single" w:sz="8" w:space="0" w:color="auto"/>
              <w:right w:val="single" w:sz="8" w:space="0" w:color="auto"/>
            </w:tcBorders>
            <w:shd w:val="clear" w:color="000000" w:fill="D6E3BC"/>
            <w:vAlign w:val="center"/>
            <w:hideMark/>
          </w:tcPr>
          <w:p w14:paraId="26B77C0C" w14:textId="77777777" w:rsidR="008251EA" w:rsidRPr="008251EA" w:rsidRDefault="008251EA" w:rsidP="008251EA">
            <w:pPr>
              <w:spacing w:after="0" w:line="240" w:lineRule="auto"/>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Commercial</w:t>
            </w:r>
          </w:p>
        </w:tc>
        <w:tc>
          <w:tcPr>
            <w:tcW w:w="1283" w:type="dxa"/>
            <w:tcBorders>
              <w:top w:val="single" w:sz="8" w:space="0" w:color="auto"/>
              <w:left w:val="nil"/>
              <w:bottom w:val="single" w:sz="8" w:space="0" w:color="auto"/>
              <w:right w:val="single" w:sz="8" w:space="0" w:color="auto"/>
            </w:tcBorders>
            <w:shd w:val="clear" w:color="000000" w:fill="D6E3BC"/>
            <w:vAlign w:val="center"/>
            <w:hideMark/>
          </w:tcPr>
          <w:p w14:paraId="681EA037" w14:textId="77777777" w:rsidR="008251EA" w:rsidRPr="008251EA" w:rsidRDefault="008251EA" w:rsidP="008251EA">
            <w:pPr>
              <w:spacing w:after="0" w:line="240" w:lineRule="auto"/>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Total</w:t>
            </w:r>
          </w:p>
        </w:tc>
        <w:tc>
          <w:tcPr>
            <w:tcW w:w="272" w:type="dxa"/>
            <w:tcBorders>
              <w:top w:val="single" w:sz="8" w:space="0" w:color="auto"/>
              <w:left w:val="nil"/>
              <w:bottom w:val="single" w:sz="8" w:space="0" w:color="auto"/>
              <w:right w:val="single" w:sz="8" w:space="0" w:color="auto"/>
            </w:tcBorders>
            <w:shd w:val="clear" w:color="000000" w:fill="F2F2F2"/>
            <w:vAlign w:val="center"/>
            <w:hideMark/>
          </w:tcPr>
          <w:p w14:paraId="79F53F3C"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 </w:t>
            </w:r>
          </w:p>
        </w:tc>
        <w:tc>
          <w:tcPr>
            <w:tcW w:w="965" w:type="dxa"/>
            <w:tcBorders>
              <w:top w:val="single" w:sz="8" w:space="0" w:color="auto"/>
              <w:left w:val="nil"/>
              <w:bottom w:val="single" w:sz="8" w:space="0" w:color="auto"/>
              <w:right w:val="single" w:sz="8" w:space="0" w:color="auto"/>
            </w:tcBorders>
            <w:shd w:val="clear" w:color="000000" w:fill="D6E3BC"/>
            <w:vAlign w:val="center"/>
            <w:hideMark/>
          </w:tcPr>
          <w:p w14:paraId="5087D828" w14:textId="77777777" w:rsidR="008251EA" w:rsidRPr="008251EA" w:rsidRDefault="008251EA" w:rsidP="008251EA">
            <w:pPr>
              <w:spacing w:after="0" w:line="240" w:lineRule="auto"/>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Low-Income</w:t>
            </w:r>
          </w:p>
        </w:tc>
      </w:tr>
      <w:tr w:rsidR="008251EA" w:rsidRPr="008251EA" w14:paraId="0C822DC7" w14:textId="77777777" w:rsidTr="0082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0"/>
        </w:trPr>
        <w:tc>
          <w:tcPr>
            <w:tcW w:w="2484" w:type="dxa"/>
            <w:gridSpan w:val="2"/>
            <w:tcBorders>
              <w:top w:val="nil"/>
              <w:left w:val="single" w:sz="8" w:space="0" w:color="auto"/>
              <w:bottom w:val="single" w:sz="8" w:space="0" w:color="auto"/>
              <w:right w:val="single" w:sz="8" w:space="0" w:color="auto"/>
            </w:tcBorders>
            <w:shd w:val="clear" w:color="auto" w:fill="auto"/>
            <w:vAlign w:val="center"/>
            <w:hideMark/>
          </w:tcPr>
          <w:p w14:paraId="6C2F46A5" w14:textId="77777777" w:rsidR="008251EA" w:rsidRPr="008251EA" w:rsidRDefault="008251EA" w:rsidP="008251EA">
            <w:pPr>
              <w:spacing w:after="0" w:line="240" w:lineRule="auto"/>
              <w:jc w:val="right"/>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2020 Targets</w:t>
            </w:r>
          </w:p>
        </w:tc>
        <w:tc>
          <w:tcPr>
            <w:tcW w:w="1296" w:type="dxa"/>
            <w:gridSpan w:val="3"/>
            <w:tcBorders>
              <w:top w:val="nil"/>
              <w:left w:val="nil"/>
              <w:bottom w:val="single" w:sz="8" w:space="0" w:color="auto"/>
              <w:right w:val="single" w:sz="8" w:space="0" w:color="auto"/>
            </w:tcBorders>
            <w:shd w:val="clear" w:color="auto" w:fill="auto"/>
            <w:vAlign w:val="center"/>
            <w:hideMark/>
          </w:tcPr>
          <w:p w14:paraId="6CB61290"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327,801</w:t>
            </w:r>
          </w:p>
        </w:tc>
        <w:tc>
          <w:tcPr>
            <w:tcW w:w="1350" w:type="dxa"/>
            <w:tcBorders>
              <w:top w:val="nil"/>
              <w:left w:val="nil"/>
              <w:bottom w:val="single" w:sz="8" w:space="0" w:color="auto"/>
              <w:right w:val="single" w:sz="8" w:space="0" w:color="auto"/>
            </w:tcBorders>
            <w:shd w:val="clear" w:color="auto" w:fill="auto"/>
            <w:vAlign w:val="center"/>
            <w:hideMark/>
          </w:tcPr>
          <w:p w14:paraId="1FF30A70"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387,824</w:t>
            </w:r>
          </w:p>
        </w:tc>
        <w:tc>
          <w:tcPr>
            <w:tcW w:w="1283" w:type="dxa"/>
            <w:tcBorders>
              <w:top w:val="nil"/>
              <w:left w:val="nil"/>
              <w:bottom w:val="single" w:sz="8" w:space="0" w:color="auto"/>
              <w:right w:val="nil"/>
            </w:tcBorders>
            <w:shd w:val="clear" w:color="000000" w:fill="EAF1DD"/>
            <w:vAlign w:val="center"/>
            <w:hideMark/>
          </w:tcPr>
          <w:p w14:paraId="49E4225C"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715,625</w:t>
            </w:r>
          </w:p>
        </w:tc>
        <w:tc>
          <w:tcPr>
            <w:tcW w:w="272" w:type="dxa"/>
            <w:tcBorders>
              <w:top w:val="nil"/>
              <w:left w:val="single" w:sz="8" w:space="0" w:color="auto"/>
              <w:bottom w:val="single" w:sz="8" w:space="0" w:color="auto"/>
              <w:right w:val="single" w:sz="8" w:space="0" w:color="auto"/>
            </w:tcBorders>
            <w:shd w:val="clear" w:color="000000" w:fill="F2F2F2"/>
            <w:vAlign w:val="center"/>
            <w:hideMark/>
          </w:tcPr>
          <w:p w14:paraId="5006FBB0"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 </w:t>
            </w:r>
          </w:p>
        </w:tc>
        <w:tc>
          <w:tcPr>
            <w:tcW w:w="965" w:type="dxa"/>
            <w:tcBorders>
              <w:top w:val="nil"/>
              <w:left w:val="nil"/>
              <w:bottom w:val="single" w:sz="8" w:space="0" w:color="auto"/>
              <w:right w:val="single" w:sz="8" w:space="0" w:color="auto"/>
            </w:tcBorders>
            <w:shd w:val="clear" w:color="auto" w:fill="auto"/>
            <w:vAlign w:val="center"/>
            <w:hideMark/>
          </w:tcPr>
          <w:p w14:paraId="36F267BA"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11,000</w:t>
            </w:r>
          </w:p>
        </w:tc>
      </w:tr>
      <w:tr w:rsidR="008251EA" w:rsidRPr="008251EA" w14:paraId="4342AF25" w14:textId="77777777" w:rsidTr="0082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0"/>
        </w:trPr>
        <w:tc>
          <w:tcPr>
            <w:tcW w:w="2484" w:type="dxa"/>
            <w:gridSpan w:val="2"/>
            <w:tcBorders>
              <w:top w:val="nil"/>
              <w:left w:val="single" w:sz="8" w:space="0" w:color="auto"/>
              <w:bottom w:val="single" w:sz="8" w:space="0" w:color="auto"/>
              <w:right w:val="single" w:sz="8" w:space="0" w:color="auto"/>
            </w:tcBorders>
            <w:shd w:val="clear" w:color="auto" w:fill="auto"/>
            <w:vAlign w:val="center"/>
            <w:hideMark/>
          </w:tcPr>
          <w:p w14:paraId="7922F1A6" w14:textId="77777777" w:rsidR="008251EA" w:rsidRPr="008251EA" w:rsidRDefault="008251EA" w:rsidP="008251EA">
            <w:pPr>
              <w:spacing w:after="0" w:line="240" w:lineRule="auto"/>
              <w:jc w:val="right"/>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Therms Achieved</w:t>
            </w:r>
          </w:p>
        </w:tc>
        <w:tc>
          <w:tcPr>
            <w:tcW w:w="1296" w:type="dxa"/>
            <w:gridSpan w:val="3"/>
            <w:tcBorders>
              <w:top w:val="nil"/>
              <w:left w:val="nil"/>
              <w:bottom w:val="single" w:sz="8" w:space="0" w:color="auto"/>
              <w:right w:val="single" w:sz="8" w:space="0" w:color="auto"/>
            </w:tcBorders>
            <w:shd w:val="clear" w:color="auto" w:fill="auto"/>
            <w:vAlign w:val="center"/>
            <w:hideMark/>
          </w:tcPr>
          <w:p w14:paraId="4C9D5CA6"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383,018</w:t>
            </w:r>
          </w:p>
        </w:tc>
        <w:tc>
          <w:tcPr>
            <w:tcW w:w="1350" w:type="dxa"/>
            <w:tcBorders>
              <w:top w:val="nil"/>
              <w:left w:val="nil"/>
              <w:bottom w:val="single" w:sz="8" w:space="0" w:color="auto"/>
              <w:right w:val="single" w:sz="8" w:space="0" w:color="auto"/>
            </w:tcBorders>
            <w:shd w:val="clear" w:color="auto" w:fill="auto"/>
            <w:vAlign w:val="center"/>
            <w:hideMark/>
          </w:tcPr>
          <w:p w14:paraId="4BF82325"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266,945</w:t>
            </w:r>
          </w:p>
        </w:tc>
        <w:tc>
          <w:tcPr>
            <w:tcW w:w="1283" w:type="dxa"/>
            <w:tcBorders>
              <w:top w:val="nil"/>
              <w:left w:val="nil"/>
              <w:bottom w:val="single" w:sz="8" w:space="0" w:color="auto"/>
              <w:right w:val="nil"/>
            </w:tcBorders>
            <w:shd w:val="clear" w:color="000000" w:fill="EAF1DD"/>
            <w:vAlign w:val="center"/>
            <w:hideMark/>
          </w:tcPr>
          <w:p w14:paraId="0969304A"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649,963</w:t>
            </w:r>
          </w:p>
        </w:tc>
        <w:tc>
          <w:tcPr>
            <w:tcW w:w="272" w:type="dxa"/>
            <w:tcBorders>
              <w:top w:val="nil"/>
              <w:left w:val="single" w:sz="8" w:space="0" w:color="auto"/>
              <w:bottom w:val="single" w:sz="8" w:space="0" w:color="auto"/>
              <w:right w:val="single" w:sz="8" w:space="0" w:color="auto"/>
            </w:tcBorders>
            <w:shd w:val="clear" w:color="000000" w:fill="F2F2F2"/>
            <w:vAlign w:val="center"/>
            <w:hideMark/>
          </w:tcPr>
          <w:p w14:paraId="236E454D" w14:textId="77777777" w:rsidR="008251EA" w:rsidRPr="008251EA" w:rsidRDefault="008251EA" w:rsidP="008251EA">
            <w:pPr>
              <w:spacing w:after="0" w:line="240" w:lineRule="auto"/>
              <w:jc w:val="center"/>
              <w:rPr>
                <w:rFonts w:ascii="Avenir LT Std 35 Light" w:eastAsia="Times New Roman" w:hAnsi="Avenir LT Std 35 Light" w:cs="Calibri"/>
                <w:color w:val="000000"/>
                <w:sz w:val="20"/>
                <w:szCs w:val="20"/>
              </w:rPr>
            </w:pPr>
            <w:r w:rsidRPr="008251EA">
              <w:rPr>
                <w:rFonts w:ascii="Avenir LT Std 35 Light" w:eastAsia="Times New Roman" w:hAnsi="Avenir LT Std 35 Light" w:cs="Calibri"/>
                <w:color w:val="000000"/>
                <w:sz w:val="20"/>
                <w:szCs w:val="20"/>
              </w:rPr>
              <w:t> </w:t>
            </w:r>
          </w:p>
        </w:tc>
        <w:tc>
          <w:tcPr>
            <w:tcW w:w="965" w:type="dxa"/>
            <w:tcBorders>
              <w:top w:val="nil"/>
              <w:left w:val="nil"/>
              <w:bottom w:val="single" w:sz="8" w:space="0" w:color="auto"/>
              <w:right w:val="single" w:sz="8" w:space="0" w:color="auto"/>
            </w:tcBorders>
            <w:shd w:val="clear" w:color="auto" w:fill="auto"/>
            <w:vAlign w:val="center"/>
            <w:hideMark/>
          </w:tcPr>
          <w:p w14:paraId="58655A36"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9,213</w:t>
            </w:r>
          </w:p>
        </w:tc>
      </w:tr>
      <w:tr w:rsidR="008251EA" w:rsidRPr="008251EA" w14:paraId="2A86E887" w14:textId="77777777" w:rsidTr="0082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0"/>
        </w:trPr>
        <w:tc>
          <w:tcPr>
            <w:tcW w:w="2484" w:type="dxa"/>
            <w:gridSpan w:val="2"/>
            <w:tcBorders>
              <w:top w:val="nil"/>
              <w:left w:val="single" w:sz="8" w:space="0" w:color="auto"/>
              <w:bottom w:val="single" w:sz="8" w:space="0" w:color="auto"/>
              <w:right w:val="single" w:sz="8" w:space="0" w:color="auto"/>
            </w:tcBorders>
            <w:shd w:val="clear" w:color="auto" w:fill="auto"/>
            <w:vAlign w:val="center"/>
            <w:hideMark/>
          </w:tcPr>
          <w:p w14:paraId="7045FD00" w14:textId="77777777" w:rsidR="008251EA" w:rsidRPr="008251EA" w:rsidRDefault="008251EA" w:rsidP="008251EA">
            <w:pPr>
              <w:spacing w:after="0" w:line="240" w:lineRule="auto"/>
              <w:jc w:val="right"/>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Measures Installed</w:t>
            </w:r>
          </w:p>
        </w:tc>
        <w:tc>
          <w:tcPr>
            <w:tcW w:w="1296" w:type="dxa"/>
            <w:gridSpan w:val="3"/>
            <w:tcBorders>
              <w:top w:val="nil"/>
              <w:left w:val="nil"/>
              <w:bottom w:val="single" w:sz="8" w:space="0" w:color="auto"/>
              <w:right w:val="single" w:sz="8" w:space="0" w:color="auto"/>
            </w:tcBorders>
            <w:shd w:val="clear" w:color="auto" w:fill="auto"/>
            <w:vAlign w:val="center"/>
            <w:hideMark/>
          </w:tcPr>
          <w:p w14:paraId="4807CBAE"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6,767</w:t>
            </w:r>
          </w:p>
        </w:tc>
        <w:tc>
          <w:tcPr>
            <w:tcW w:w="1350" w:type="dxa"/>
            <w:tcBorders>
              <w:top w:val="nil"/>
              <w:left w:val="nil"/>
              <w:bottom w:val="single" w:sz="8" w:space="0" w:color="auto"/>
              <w:right w:val="single" w:sz="8" w:space="0" w:color="auto"/>
            </w:tcBorders>
            <w:shd w:val="clear" w:color="auto" w:fill="auto"/>
            <w:vAlign w:val="center"/>
            <w:hideMark/>
          </w:tcPr>
          <w:p w14:paraId="6E1DB497"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645</w:t>
            </w:r>
          </w:p>
        </w:tc>
        <w:tc>
          <w:tcPr>
            <w:tcW w:w="1283" w:type="dxa"/>
            <w:tcBorders>
              <w:top w:val="nil"/>
              <w:left w:val="nil"/>
              <w:bottom w:val="single" w:sz="8" w:space="0" w:color="auto"/>
              <w:right w:val="nil"/>
            </w:tcBorders>
            <w:shd w:val="clear" w:color="000000" w:fill="EAF1DD"/>
            <w:vAlign w:val="center"/>
            <w:hideMark/>
          </w:tcPr>
          <w:p w14:paraId="04A5F1A8"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7,412</w:t>
            </w:r>
          </w:p>
        </w:tc>
        <w:tc>
          <w:tcPr>
            <w:tcW w:w="272" w:type="dxa"/>
            <w:tcBorders>
              <w:top w:val="nil"/>
              <w:left w:val="single" w:sz="8" w:space="0" w:color="auto"/>
              <w:bottom w:val="single" w:sz="8" w:space="0" w:color="auto"/>
              <w:right w:val="single" w:sz="8" w:space="0" w:color="auto"/>
            </w:tcBorders>
            <w:shd w:val="clear" w:color="000000" w:fill="F2F2F2"/>
            <w:vAlign w:val="center"/>
            <w:hideMark/>
          </w:tcPr>
          <w:p w14:paraId="6D34639D" w14:textId="77777777" w:rsidR="008251EA" w:rsidRPr="008251EA" w:rsidRDefault="008251EA" w:rsidP="008251EA">
            <w:pPr>
              <w:spacing w:after="0" w:line="240" w:lineRule="auto"/>
              <w:jc w:val="center"/>
              <w:rPr>
                <w:rFonts w:ascii="Avenir LT Std 35 Light" w:eastAsia="Times New Roman" w:hAnsi="Avenir LT Std 35 Light" w:cs="Calibri"/>
                <w:color w:val="000000"/>
                <w:sz w:val="20"/>
                <w:szCs w:val="20"/>
              </w:rPr>
            </w:pPr>
            <w:r w:rsidRPr="008251EA">
              <w:rPr>
                <w:rFonts w:ascii="Avenir LT Std 35 Light" w:eastAsia="Times New Roman" w:hAnsi="Avenir LT Std 35 Light" w:cs="Calibri"/>
                <w:color w:val="000000"/>
                <w:sz w:val="20"/>
                <w:szCs w:val="20"/>
              </w:rPr>
              <w:t> </w:t>
            </w:r>
          </w:p>
        </w:tc>
        <w:tc>
          <w:tcPr>
            <w:tcW w:w="965" w:type="dxa"/>
            <w:tcBorders>
              <w:top w:val="nil"/>
              <w:left w:val="nil"/>
              <w:bottom w:val="single" w:sz="8" w:space="0" w:color="auto"/>
              <w:right w:val="single" w:sz="8" w:space="0" w:color="auto"/>
            </w:tcBorders>
            <w:shd w:val="clear" w:color="auto" w:fill="auto"/>
            <w:vAlign w:val="center"/>
            <w:hideMark/>
          </w:tcPr>
          <w:p w14:paraId="0DDE76F9"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169</w:t>
            </w:r>
          </w:p>
        </w:tc>
      </w:tr>
      <w:tr w:rsidR="008251EA" w:rsidRPr="008251EA" w14:paraId="736CAD9D" w14:textId="77777777" w:rsidTr="0082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0"/>
        </w:trPr>
        <w:tc>
          <w:tcPr>
            <w:tcW w:w="2484" w:type="dxa"/>
            <w:gridSpan w:val="2"/>
            <w:tcBorders>
              <w:top w:val="nil"/>
              <w:left w:val="single" w:sz="8" w:space="0" w:color="auto"/>
              <w:bottom w:val="single" w:sz="8" w:space="0" w:color="auto"/>
              <w:right w:val="single" w:sz="8" w:space="0" w:color="auto"/>
            </w:tcBorders>
            <w:shd w:val="clear" w:color="auto" w:fill="auto"/>
            <w:vAlign w:val="center"/>
          </w:tcPr>
          <w:p w14:paraId="240BB025" w14:textId="3D33157C" w:rsidR="008251EA" w:rsidRPr="008251EA" w:rsidRDefault="008251EA" w:rsidP="008251EA">
            <w:pPr>
              <w:spacing w:after="0" w:line="240" w:lineRule="auto"/>
              <w:jc w:val="right"/>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Carbon Offset*</w:t>
            </w:r>
          </w:p>
        </w:tc>
        <w:tc>
          <w:tcPr>
            <w:tcW w:w="1296" w:type="dxa"/>
            <w:gridSpan w:val="3"/>
            <w:tcBorders>
              <w:top w:val="nil"/>
              <w:left w:val="nil"/>
              <w:bottom w:val="single" w:sz="8" w:space="0" w:color="auto"/>
              <w:right w:val="single" w:sz="8" w:space="0" w:color="auto"/>
            </w:tcBorders>
            <w:shd w:val="clear" w:color="auto" w:fill="auto"/>
            <w:vAlign w:val="center"/>
          </w:tcPr>
          <w:p w14:paraId="6F714A43" w14:textId="15C13B73"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2066</w:t>
            </w:r>
          </w:p>
        </w:tc>
        <w:tc>
          <w:tcPr>
            <w:tcW w:w="1350" w:type="dxa"/>
            <w:tcBorders>
              <w:top w:val="nil"/>
              <w:left w:val="nil"/>
              <w:bottom w:val="single" w:sz="8" w:space="0" w:color="auto"/>
              <w:right w:val="single" w:sz="8" w:space="0" w:color="auto"/>
            </w:tcBorders>
            <w:shd w:val="clear" w:color="auto" w:fill="auto"/>
            <w:vAlign w:val="center"/>
          </w:tcPr>
          <w:p w14:paraId="683AEFD6" w14:textId="31126A05"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1440</w:t>
            </w:r>
          </w:p>
        </w:tc>
        <w:tc>
          <w:tcPr>
            <w:tcW w:w="1283" w:type="dxa"/>
            <w:tcBorders>
              <w:top w:val="nil"/>
              <w:left w:val="nil"/>
              <w:bottom w:val="single" w:sz="8" w:space="0" w:color="auto"/>
              <w:right w:val="nil"/>
            </w:tcBorders>
            <w:shd w:val="clear" w:color="000000" w:fill="EAF1DD"/>
            <w:vAlign w:val="center"/>
          </w:tcPr>
          <w:p w14:paraId="380FDC8E" w14:textId="2A7A00FC"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3505</w:t>
            </w:r>
          </w:p>
        </w:tc>
        <w:tc>
          <w:tcPr>
            <w:tcW w:w="272" w:type="dxa"/>
            <w:tcBorders>
              <w:top w:val="nil"/>
              <w:left w:val="single" w:sz="8" w:space="0" w:color="auto"/>
              <w:bottom w:val="single" w:sz="8" w:space="0" w:color="auto"/>
              <w:right w:val="single" w:sz="8" w:space="0" w:color="auto"/>
            </w:tcBorders>
            <w:shd w:val="clear" w:color="000000" w:fill="F2F2F2"/>
            <w:vAlign w:val="center"/>
          </w:tcPr>
          <w:p w14:paraId="538CF812" w14:textId="77777777" w:rsidR="008251EA" w:rsidRPr="008251EA" w:rsidRDefault="008251EA" w:rsidP="008251EA">
            <w:pPr>
              <w:spacing w:after="0" w:line="240" w:lineRule="auto"/>
              <w:jc w:val="center"/>
              <w:rPr>
                <w:rFonts w:ascii="Avenir LT Std 35 Light" w:eastAsia="Times New Roman" w:hAnsi="Avenir LT Std 35 Light" w:cs="Calibri"/>
                <w:color w:val="000000"/>
                <w:sz w:val="20"/>
                <w:szCs w:val="20"/>
              </w:rPr>
            </w:pPr>
          </w:p>
        </w:tc>
        <w:tc>
          <w:tcPr>
            <w:tcW w:w="965" w:type="dxa"/>
            <w:tcBorders>
              <w:top w:val="nil"/>
              <w:left w:val="nil"/>
              <w:bottom w:val="single" w:sz="8" w:space="0" w:color="auto"/>
              <w:right w:val="single" w:sz="8" w:space="0" w:color="auto"/>
            </w:tcBorders>
            <w:shd w:val="clear" w:color="auto" w:fill="auto"/>
            <w:vAlign w:val="center"/>
          </w:tcPr>
          <w:p w14:paraId="6215A520" w14:textId="25847BBF"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50</w:t>
            </w:r>
          </w:p>
        </w:tc>
      </w:tr>
      <w:tr w:rsidR="008251EA" w:rsidRPr="008251EA" w14:paraId="62A90F81" w14:textId="77777777" w:rsidTr="0082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0"/>
        </w:trPr>
        <w:tc>
          <w:tcPr>
            <w:tcW w:w="2484" w:type="dxa"/>
            <w:gridSpan w:val="2"/>
            <w:tcBorders>
              <w:top w:val="nil"/>
              <w:left w:val="single" w:sz="8" w:space="0" w:color="auto"/>
              <w:bottom w:val="nil"/>
              <w:right w:val="single" w:sz="8" w:space="0" w:color="auto"/>
            </w:tcBorders>
            <w:shd w:val="clear" w:color="auto" w:fill="DDD9C3" w:themeFill="background2" w:themeFillShade="E6"/>
            <w:vAlign w:val="center"/>
            <w:hideMark/>
          </w:tcPr>
          <w:p w14:paraId="5BF8FA3D" w14:textId="5505DFDA" w:rsidR="008251EA" w:rsidRPr="008251EA" w:rsidRDefault="008251EA" w:rsidP="008251EA">
            <w:pPr>
              <w:spacing w:after="0" w:line="240" w:lineRule="auto"/>
              <w:rPr>
                <w:rFonts w:ascii="Avenir LT Std 35 Light" w:eastAsia="Times New Roman" w:hAnsi="Avenir LT Std 35 Light" w:cs="Calibri"/>
                <w:b/>
                <w:bCs/>
                <w:color w:val="000000"/>
                <w:sz w:val="20"/>
                <w:szCs w:val="20"/>
              </w:rPr>
            </w:pPr>
          </w:p>
        </w:tc>
        <w:tc>
          <w:tcPr>
            <w:tcW w:w="1296" w:type="dxa"/>
            <w:gridSpan w:val="3"/>
            <w:tcBorders>
              <w:top w:val="nil"/>
              <w:left w:val="single" w:sz="8" w:space="0" w:color="auto"/>
              <w:bottom w:val="nil"/>
              <w:right w:val="single" w:sz="8" w:space="0" w:color="auto"/>
            </w:tcBorders>
            <w:shd w:val="clear" w:color="auto" w:fill="DDD9C3" w:themeFill="background2" w:themeFillShade="E6"/>
            <w:vAlign w:val="center"/>
            <w:hideMark/>
          </w:tcPr>
          <w:p w14:paraId="79A4D4A5" w14:textId="77777777" w:rsidR="008251EA" w:rsidRPr="008251EA" w:rsidRDefault="008251EA" w:rsidP="008251EA">
            <w:pPr>
              <w:spacing w:after="0" w:line="240" w:lineRule="auto"/>
              <w:rPr>
                <w:rFonts w:ascii="Avenir LT Std 35 Light" w:eastAsia="Times New Roman" w:hAnsi="Avenir LT Std 35 Light" w:cs="Calibri"/>
                <w:b/>
                <w:bCs/>
                <w:color w:val="000000"/>
                <w:sz w:val="20"/>
                <w:szCs w:val="20"/>
              </w:rPr>
            </w:pPr>
          </w:p>
        </w:tc>
        <w:tc>
          <w:tcPr>
            <w:tcW w:w="1350" w:type="dxa"/>
            <w:tcBorders>
              <w:top w:val="nil"/>
              <w:left w:val="single" w:sz="8" w:space="0" w:color="auto"/>
              <w:bottom w:val="nil"/>
              <w:right w:val="single" w:sz="8" w:space="0" w:color="auto"/>
            </w:tcBorders>
            <w:shd w:val="clear" w:color="auto" w:fill="DDD9C3" w:themeFill="background2" w:themeFillShade="E6"/>
            <w:vAlign w:val="center"/>
            <w:hideMark/>
          </w:tcPr>
          <w:p w14:paraId="437EB0A8" w14:textId="77777777" w:rsidR="008251EA" w:rsidRPr="008251EA" w:rsidRDefault="008251EA" w:rsidP="008251EA">
            <w:pPr>
              <w:spacing w:after="0" w:line="240" w:lineRule="auto"/>
              <w:rPr>
                <w:rFonts w:ascii="Avenir LT Std 35 Light" w:eastAsia="Times New Roman" w:hAnsi="Avenir LT Std 35 Light" w:cs="Calibri"/>
                <w:b/>
                <w:bCs/>
                <w:color w:val="000000"/>
                <w:sz w:val="20"/>
                <w:szCs w:val="20"/>
              </w:rPr>
            </w:pPr>
          </w:p>
        </w:tc>
        <w:tc>
          <w:tcPr>
            <w:tcW w:w="1283" w:type="dxa"/>
            <w:tcBorders>
              <w:top w:val="nil"/>
              <w:left w:val="single" w:sz="8" w:space="0" w:color="auto"/>
              <w:bottom w:val="nil"/>
              <w:right w:val="single" w:sz="8" w:space="0" w:color="auto"/>
            </w:tcBorders>
            <w:shd w:val="clear" w:color="auto" w:fill="DDD9C3" w:themeFill="background2" w:themeFillShade="E6"/>
            <w:vAlign w:val="center"/>
            <w:hideMark/>
          </w:tcPr>
          <w:p w14:paraId="6E4BFA77" w14:textId="77777777" w:rsidR="008251EA" w:rsidRPr="008251EA" w:rsidRDefault="008251EA" w:rsidP="008251EA">
            <w:pPr>
              <w:spacing w:after="0" w:line="240" w:lineRule="auto"/>
              <w:rPr>
                <w:rFonts w:ascii="Avenir LT Std 35 Light" w:eastAsia="Times New Roman" w:hAnsi="Avenir LT Std 35 Light" w:cs="Calibri"/>
                <w:b/>
                <w:bCs/>
                <w:color w:val="000000"/>
                <w:sz w:val="20"/>
                <w:szCs w:val="20"/>
              </w:rPr>
            </w:pPr>
          </w:p>
        </w:tc>
        <w:tc>
          <w:tcPr>
            <w:tcW w:w="272" w:type="dxa"/>
            <w:tcBorders>
              <w:top w:val="nil"/>
              <w:left w:val="single" w:sz="8" w:space="0" w:color="auto"/>
              <w:bottom w:val="single" w:sz="8" w:space="0" w:color="000000"/>
              <w:right w:val="single" w:sz="8" w:space="0" w:color="auto"/>
            </w:tcBorders>
            <w:shd w:val="clear" w:color="auto" w:fill="DDD9C3" w:themeFill="background2" w:themeFillShade="E6"/>
            <w:vAlign w:val="center"/>
            <w:hideMark/>
          </w:tcPr>
          <w:p w14:paraId="73D49479" w14:textId="77777777" w:rsidR="008251EA" w:rsidRPr="008251EA" w:rsidRDefault="008251EA" w:rsidP="008251EA">
            <w:pPr>
              <w:spacing w:after="0" w:line="240" w:lineRule="auto"/>
              <w:rPr>
                <w:rFonts w:ascii="Avenir LT Std 35 Light" w:eastAsia="Times New Roman" w:hAnsi="Avenir LT Std 35 Light" w:cs="Calibri"/>
                <w:color w:val="000000"/>
                <w:sz w:val="20"/>
                <w:szCs w:val="20"/>
              </w:rPr>
            </w:pPr>
          </w:p>
        </w:tc>
        <w:tc>
          <w:tcPr>
            <w:tcW w:w="965" w:type="dxa"/>
            <w:tcBorders>
              <w:top w:val="nil"/>
              <w:left w:val="single" w:sz="8" w:space="0" w:color="auto"/>
              <w:bottom w:val="single" w:sz="8" w:space="0" w:color="000000"/>
              <w:right w:val="single" w:sz="8" w:space="0" w:color="auto"/>
            </w:tcBorders>
            <w:shd w:val="clear" w:color="auto" w:fill="DDD9C3" w:themeFill="background2" w:themeFillShade="E6"/>
            <w:vAlign w:val="center"/>
            <w:hideMark/>
          </w:tcPr>
          <w:p w14:paraId="3D50DFDE" w14:textId="77777777" w:rsidR="008251EA" w:rsidRPr="008251EA" w:rsidRDefault="008251EA" w:rsidP="008251EA">
            <w:pPr>
              <w:spacing w:after="0" w:line="240" w:lineRule="auto"/>
              <w:rPr>
                <w:rFonts w:ascii="Avenir LT Std 35 Light" w:eastAsia="Times New Roman" w:hAnsi="Avenir LT Std 35 Light" w:cs="Calibri"/>
                <w:b/>
                <w:bCs/>
                <w:color w:val="000000"/>
                <w:sz w:val="20"/>
                <w:szCs w:val="20"/>
              </w:rPr>
            </w:pPr>
          </w:p>
        </w:tc>
      </w:tr>
      <w:tr w:rsidR="008251EA" w:rsidRPr="008251EA" w14:paraId="07F3621E" w14:textId="77777777" w:rsidTr="008251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0"/>
        </w:trPr>
        <w:tc>
          <w:tcPr>
            <w:tcW w:w="2484" w:type="dxa"/>
            <w:gridSpan w:val="2"/>
            <w:tcBorders>
              <w:top w:val="single" w:sz="4" w:space="0" w:color="auto"/>
              <w:left w:val="single" w:sz="4" w:space="0" w:color="auto"/>
              <w:bottom w:val="single" w:sz="4" w:space="0" w:color="auto"/>
              <w:right w:val="nil"/>
            </w:tcBorders>
            <w:shd w:val="clear" w:color="auto" w:fill="auto"/>
            <w:vAlign w:val="center"/>
            <w:hideMark/>
          </w:tcPr>
          <w:p w14:paraId="0AC4A920" w14:textId="371B8680" w:rsidR="008251EA" w:rsidRPr="008251EA" w:rsidRDefault="008251EA" w:rsidP="008251EA">
            <w:pPr>
              <w:spacing w:after="0" w:line="240" w:lineRule="auto"/>
              <w:jc w:val="right"/>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NEEA Therm Savings</w:t>
            </w:r>
          </w:p>
        </w:tc>
        <w:tc>
          <w:tcPr>
            <w:tcW w:w="1296" w:type="dxa"/>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14:paraId="3598DB43"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14,654</w:t>
            </w:r>
          </w:p>
        </w:tc>
        <w:tc>
          <w:tcPr>
            <w:tcW w:w="1350" w:type="dxa"/>
            <w:tcBorders>
              <w:top w:val="single" w:sz="8" w:space="0" w:color="auto"/>
              <w:left w:val="nil"/>
              <w:bottom w:val="single" w:sz="8" w:space="0" w:color="auto"/>
              <w:right w:val="single" w:sz="8" w:space="0" w:color="auto"/>
            </w:tcBorders>
            <w:shd w:val="clear" w:color="auto" w:fill="auto"/>
            <w:vAlign w:val="center"/>
            <w:hideMark/>
          </w:tcPr>
          <w:p w14:paraId="44205A61"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0</w:t>
            </w:r>
          </w:p>
        </w:tc>
        <w:tc>
          <w:tcPr>
            <w:tcW w:w="1283" w:type="dxa"/>
            <w:tcBorders>
              <w:top w:val="single" w:sz="8" w:space="0" w:color="auto"/>
              <w:left w:val="nil"/>
              <w:bottom w:val="single" w:sz="8" w:space="0" w:color="auto"/>
              <w:right w:val="single" w:sz="8" w:space="0" w:color="auto"/>
            </w:tcBorders>
            <w:shd w:val="clear" w:color="000000" w:fill="EAF1DD"/>
            <w:vAlign w:val="center"/>
            <w:hideMark/>
          </w:tcPr>
          <w:p w14:paraId="28380831"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14,654</w:t>
            </w:r>
          </w:p>
        </w:tc>
        <w:tc>
          <w:tcPr>
            <w:tcW w:w="272" w:type="dxa"/>
            <w:tcBorders>
              <w:top w:val="nil"/>
              <w:left w:val="nil"/>
              <w:bottom w:val="single" w:sz="8" w:space="0" w:color="auto"/>
              <w:right w:val="single" w:sz="8" w:space="0" w:color="auto"/>
            </w:tcBorders>
            <w:shd w:val="clear" w:color="000000" w:fill="F2F2F2"/>
            <w:vAlign w:val="center"/>
            <w:hideMark/>
          </w:tcPr>
          <w:p w14:paraId="089F082F" w14:textId="77777777" w:rsidR="008251EA" w:rsidRPr="008251EA" w:rsidRDefault="008251EA" w:rsidP="008251EA">
            <w:pPr>
              <w:spacing w:after="0" w:line="240" w:lineRule="auto"/>
              <w:jc w:val="center"/>
              <w:rPr>
                <w:rFonts w:ascii="Avenir LT Std 35 Light" w:eastAsia="Times New Roman" w:hAnsi="Avenir LT Std 35 Light" w:cs="Calibri"/>
                <w:color w:val="000000"/>
                <w:sz w:val="20"/>
                <w:szCs w:val="20"/>
              </w:rPr>
            </w:pPr>
            <w:r w:rsidRPr="008251EA">
              <w:rPr>
                <w:rFonts w:ascii="Avenir LT Std 35 Light" w:eastAsia="Times New Roman" w:hAnsi="Avenir LT Std 35 Light" w:cs="Calibri"/>
                <w:color w:val="000000"/>
                <w:sz w:val="20"/>
                <w:szCs w:val="20"/>
              </w:rPr>
              <w:t> </w:t>
            </w:r>
          </w:p>
        </w:tc>
        <w:tc>
          <w:tcPr>
            <w:tcW w:w="965" w:type="dxa"/>
            <w:tcBorders>
              <w:top w:val="nil"/>
              <w:left w:val="nil"/>
              <w:bottom w:val="single" w:sz="8" w:space="0" w:color="auto"/>
              <w:right w:val="single" w:sz="8" w:space="0" w:color="auto"/>
            </w:tcBorders>
            <w:shd w:val="clear" w:color="auto" w:fill="auto"/>
            <w:vAlign w:val="center"/>
            <w:hideMark/>
          </w:tcPr>
          <w:p w14:paraId="5809B862" w14:textId="77777777" w:rsidR="008251EA" w:rsidRPr="008251EA" w:rsidRDefault="008251EA" w:rsidP="008251EA">
            <w:pPr>
              <w:spacing w:after="0" w:line="240" w:lineRule="auto"/>
              <w:jc w:val="center"/>
              <w:rPr>
                <w:rFonts w:ascii="Avenir LT Std 35 Light" w:eastAsia="Times New Roman" w:hAnsi="Avenir LT Std 35 Light" w:cs="Calibri"/>
                <w:b/>
                <w:bCs/>
                <w:color w:val="000000"/>
                <w:sz w:val="20"/>
                <w:szCs w:val="20"/>
              </w:rPr>
            </w:pPr>
            <w:r w:rsidRPr="008251EA">
              <w:rPr>
                <w:rFonts w:ascii="Avenir LT Std 35 Light" w:eastAsia="Times New Roman" w:hAnsi="Avenir LT Std 35 Light" w:cs="Calibri"/>
                <w:b/>
                <w:bCs/>
                <w:color w:val="000000"/>
                <w:sz w:val="20"/>
                <w:szCs w:val="20"/>
              </w:rPr>
              <w:t>N/A</w:t>
            </w:r>
          </w:p>
        </w:tc>
      </w:tr>
    </w:tbl>
    <w:p w14:paraId="5FFC0C27" w14:textId="584BAB38" w:rsidR="00DB0367" w:rsidRPr="00DB0367" w:rsidRDefault="00DB0367" w:rsidP="001A6D07">
      <w:pPr>
        <w:pStyle w:val="Heading3"/>
        <w:numPr>
          <w:ilvl w:val="0"/>
          <w:numId w:val="20"/>
        </w:numPr>
      </w:pPr>
      <w:r w:rsidRPr="00DB0367">
        <w:rPr>
          <w:u w:val="single"/>
        </w:rPr>
        <w:t>2021 Quarterly Meeting Schedule</w:t>
      </w:r>
    </w:p>
    <w:p w14:paraId="636B12BA" w14:textId="627A04C2" w:rsidR="00DB0367" w:rsidRDefault="00DB0367" w:rsidP="00FE728B">
      <w:pPr>
        <w:pStyle w:val="ListParagraph"/>
        <w:numPr>
          <w:ilvl w:val="0"/>
          <w:numId w:val="3"/>
        </w:numPr>
      </w:pPr>
      <w:r>
        <w:t>Meetings are held from 9am – 12pm</w:t>
      </w:r>
    </w:p>
    <w:p w14:paraId="102AF710" w14:textId="71045FFA" w:rsidR="00A82580" w:rsidRDefault="000F4A2C" w:rsidP="00FE728B">
      <w:pPr>
        <w:pStyle w:val="ListParagraph"/>
        <w:numPr>
          <w:ilvl w:val="0"/>
          <w:numId w:val="3"/>
        </w:numPr>
      </w:pPr>
      <w:r>
        <w:t>W</w:t>
      </w:r>
      <w:r w:rsidR="00A82580">
        <w:t xml:space="preserve">e may need more ad hoc meetings via email and teleconference to accommodate stakeholder feedback and participation in the CPA process during Q1 &amp; Q2 </w:t>
      </w:r>
    </w:p>
    <w:p w14:paraId="70328C93" w14:textId="73F4644E" w:rsidR="00DB0367" w:rsidRDefault="00A82580" w:rsidP="00FE728B">
      <w:pPr>
        <w:pStyle w:val="ListParagraph"/>
        <w:numPr>
          <w:ilvl w:val="1"/>
          <w:numId w:val="3"/>
        </w:numPr>
      </w:pPr>
      <w:r>
        <w:t xml:space="preserve">Q3 </w:t>
      </w:r>
      <w:r w:rsidR="00DB0367">
        <w:t>July 14, 2021-</w:t>
      </w:r>
      <w:r w:rsidR="00EF3CE0">
        <w:t xml:space="preserve"> - Via </w:t>
      </w:r>
      <w:r w:rsidR="00DB0367">
        <w:t>Teams</w:t>
      </w:r>
    </w:p>
    <w:p w14:paraId="5E47DBF6" w14:textId="35809B8B" w:rsidR="00DB0367" w:rsidRDefault="00A82580" w:rsidP="00FE728B">
      <w:pPr>
        <w:pStyle w:val="ListParagraph"/>
        <w:numPr>
          <w:ilvl w:val="1"/>
          <w:numId w:val="3"/>
        </w:numPr>
      </w:pPr>
      <w:r>
        <w:t xml:space="preserve">Q4 </w:t>
      </w:r>
      <w:r w:rsidR="00DB0367">
        <w:t>October 13, 20201 – Bellingham or Teams</w:t>
      </w:r>
    </w:p>
    <w:p w14:paraId="6DC146E8" w14:textId="0031337B" w:rsidR="00C31478" w:rsidRPr="00C31478" w:rsidRDefault="00A82580" w:rsidP="001A6D07">
      <w:pPr>
        <w:pStyle w:val="Heading3"/>
        <w:numPr>
          <w:ilvl w:val="0"/>
          <w:numId w:val="20"/>
        </w:numPr>
      </w:pPr>
      <w:r w:rsidRPr="0029633F">
        <w:t>Wrap up</w:t>
      </w:r>
      <w:r>
        <w:t xml:space="preserve"> </w:t>
      </w:r>
    </w:p>
    <w:sectPr w:rsidR="00C31478" w:rsidRPr="00C31478">
      <w:headerReference w:type="default" r:id="rId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4C6911" w14:textId="77777777" w:rsidR="005145B4" w:rsidRDefault="005145B4" w:rsidP="00AA78B3">
      <w:pPr>
        <w:spacing w:after="0" w:line="240" w:lineRule="auto"/>
      </w:pPr>
      <w:r>
        <w:separator/>
      </w:r>
    </w:p>
  </w:endnote>
  <w:endnote w:type="continuationSeparator" w:id="0">
    <w:p w14:paraId="51E59A4A" w14:textId="77777777" w:rsidR="005145B4" w:rsidRDefault="005145B4" w:rsidP="00AA78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Avenir Black">
    <w:altName w:val="Arial"/>
    <w:charset w:val="00"/>
    <w:family w:val="swiss"/>
    <w:pitch w:val="variable"/>
    <w:sig w:usb0="800000AF" w:usb1="5000204A" w:usb2="00000000" w:usb3="00000000" w:csb0="0000009B" w:csb1="00000000"/>
  </w:font>
  <w:font w:name="Segoe UI Semibold">
    <w:panose1 w:val="020B07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 LT Std 35 Light">
    <w:altName w:val="Calibri"/>
    <w:panose1 w:val="020B0402020203020204"/>
    <w:charset w:val="00"/>
    <w:family w:val="swiss"/>
    <w:notTrueType/>
    <w:pitch w:val="variable"/>
    <w:sig w:usb0="800000AF" w:usb1="4000204A" w:usb2="00000000" w:usb3="00000000" w:csb0="00000001" w:csb1="00000000"/>
  </w:font>
  <w:font w:name="Euphemia">
    <w:charset w:val="00"/>
    <w:family w:val="swiss"/>
    <w:pitch w:val="variable"/>
    <w:sig w:usb0="8000006F" w:usb1="0000004A" w:usb2="00002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1F0C9F" w14:textId="77777777" w:rsidR="005145B4" w:rsidRDefault="005145B4" w:rsidP="00AA78B3">
      <w:pPr>
        <w:spacing w:after="0" w:line="240" w:lineRule="auto"/>
      </w:pPr>
      <w:r>
        <w:separator/>
      </w:r>
    </w:p>
  </w:footnote>
  <w:footnote w:type="continuationSeparator" w:id="0">
    <w:p w14:paraId="7C1EE214" w14:textId="77777777" w:rsidR="005145B4" w:rsidRDefault="005145B4" w:rsidP="00AA78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45CF1E" w14:textId="345BFDBA" w:rsidR="00AA78B3" w:rsidRPr="009A1A6F" w:rsidRDefault="00956C9A" w:rsidP="00AA78B3">
    <w:pPr>
      <w:pStyle w:val="Title"/>
      <w:tabs>
        <w:tab w:val="left" w:pos="1800"/>
      </w:tabs>
      <w:jc w:val="right"/>
      <w:rPr>
        <w:color w:val="auto"/>
        <w:sz w:val="48"/>
      </w:rPr>
    </w:pPr>
    <w:r>
      <w:rPr>
        <w:b/>
        <w:color w:val="auto"/>
        <w:spacing w:val="0"/>
        <w:sz w:val="4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Cascade Natural Gas CAG Meeting </w:t>
    </w:r>
    <w:r w:rsidR="00AA78B3" w:rsidRPr="009A1A6F">
      <w:rPr>
        <w:b/>
        <w:color w:val="auto"/>
        <w:spacing w:val="0"/>
        <w:sz w:val="4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Agenda</w:t>
    </w:r>
    <w:r>
      <w:rPr>
        <w:b/>
        <w:color w:val="auto"/>
        <w:spacing w:val="0"/>
        <w:sz w:val="4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DB0367">
      <w:rPr>
        <w:b/>
        <w:color w:val="auto"/>
        <w:spacing w:val="0"/>
        <w:sz w:val="4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0</w:t>
    </w:r>
    <w:r w:rsidR="007B1897">
      <w:rPr>
        <w:b/>
        <w:color w:val="auto"/>
        <w:spacing w:val="0"/>
        <w:sz w:val="4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4</w:t>
    </w:r>
    <w:r w:rsidR="00DB0367">
      <w:rPr>
        <w:b/>
        <w:color w:val="auto"/>
        <w:spacing w:val="0"/>
        <w:sz w:val="4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/2</w:t>
    </w:r>
    <w:r w:rsidR="007B1897">
      <w:rPr>
        <w:b/>
        <w:color w:val="auto"/>
        <w:spacing w:val="0"/>
        <w:sz w:val="4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1</w:t>
    </w:r>
    <w:r w:rsidR="00DB0367">
      <w:rPr>
        <w:b/>
        <w:color w:val="auto"/>
        <w:spacing w:val="0"/>
        <w:sz w:val="4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/21</w:t>
    </w:r>
    <w:r w:rsidR="00AA78B3" w:rsidRPr="009A1A6F">
      <w:rPr>
        <w:color w:val="auto"/>
        <w:sz w:val="48"/>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572631"/>
    <w:multiLevelType w:val="hybridMultilevel"/>
    <w:tmpl w:val="BCF8F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4E666B"/>
    <w:multiLevelType w:val="hybridMultilevel"/>
    <w:tmpl w:val="BF36EF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75A4997"/>
    <w:multiLevelType w:val="hybridMultilevel"/>
    <w:tmpl w:val="C5D074F0"/>
    <w:lvl w:ilvl="0" w:tplc="0B9814C4">
      <w:start w:val="1"/>
      <w:numFmt w:val="decimal"/>
      <w:lvlText w:val="%1."/>
      <w:lvlJc w:val="left"/>
      <w:pPr>
        <w:ind w:left="360" w:hanging="360"/>
      </w:pPr>
      <w:rPr>
        <w:i w:val="0"/>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A9652E2"/>
    <w:multiLevelType w:val="hybridMultilevel"/>
    <w:tmpl w:val="E9D89070"/>
    <w:lvl w:ilvl="0" w:tplc="E84C6E3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411835"/>
    <w:multiLevelType w:val="hybridMultilevel"/>
    <w:tmpl w:val="CF407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A606024"/>
    <w:multiLevelType w:val="hybridMultilevel"/>
    <w:tmpl w:val="41027A9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C5D20E6"/>
    <w:multiLevelType w:val="hybridMultilevel"/>
    <w:tmpl w:val="EC76E9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D676B0"/>
    <w:multiLevelType w:val="hybridMultilevel"/>
    <w:tmpl w:val="1DA23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FDA7A55"/>
    <w:multiLevelType w:val="hybridMultilevel"/>
    <w:tmpl w:val="C7BE6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4A31BE6"/>
    <w:multiLevelType w:val="hybridMultilevel"/>
    <w:tmpl w:val="FCC24078"/>
    <w:lvl w:ilvl="0" w:tplc="E84C6E3C">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BAE3B7E"/>
    <w:multiLevelType w:val="hybridMultilevel"/>
    <w:tmpl w:val="1EEE08FA"/>
    <w:lvl w:ilvl="0" w:tplc="04090001">
      <w:start w:val="1"/>
      <w:numFmt w:val="bullet"/>
      <w:lvlText w:val=""/>
      <w:lvlJc w:val="left"/>
      <w:pPr>
        <w:ind w:left="1440" w:hanging="360"/>
      </w:pPr>
      <w:rPr>
        <w:rFonts w:ascii="Symbol" w:hAnsi="Symbol" w:hint="default"/>
        <w:color w:val="auto"/>
      </w:rPr>
    </w:lvl>
    <w:lvl w:ilvl="1" w:tplc="04090005">
      <w:start w:val="1"/>
      <w:numFmt w:val="bullet"/>
      <w:lvlText w:val=""/>
      <w:lvlJc w:val="left"/>
      <w:pPr>
        <w:ind w:left="2160" w:hanging="360"/>
      </w:pPr>
      <w:rPr>
        <w:rFonts w:ascii="Wingdings" w:hAnsi="Wingdings" w:hint="default"/>
      </w:rPr>
    </w:lvl>
    <w:lvl w:ilvl="2" w:tplc="47A2A486">
      <w:start w:val="1"/>
      <w:numFmt w:val="bullet"/>
      <w:lvlText w:val=""/>
      <w:lvlJc w:val="left"/>
      <w:pPr>
        <w:ind w:left="2880" w:hanging="360"/>
      </w:pPr>
      <w:rPr>
        <w:rFonts w:ascii="Symbol" w:hAnsi="Symbol" w:hint="default"/>
        <w:color w:val="auto"/>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3E3A0399"/>
    <w:multiLevelType w:val="hybridMultilevel"/>
    <w:tmpl w:val="54466262"/>
    <w:lvl w:ilvl="0" w:tplc="A2066042">
      <w:start w:val="1"/>
      <w:numFmt w:val="decimal"/>
      <w:lvlText w:val="%1."/>
      <w:lvlJc w:val="left"/>
      <w:pPr>
        <w:tabs>
          <w:tab w:val="num" w:pos="720"/>
        </w:tabs>
        <w:ind w:left="720" w:hanging="360"/>
      </w:pPr>
    </w:lvl>
    <w:lvl w:ilvl="1" w:tplc="2E5A9D60">
      <w:start w:val="1"/>
      <w:numFmt w:val="decimal"/>
      <w:lvlText w:val="%2."/>
      <w:lvlJc w:val="left"/>
      <w:pPr>
        <w:tabs>
          <w:tab w:val="num" w:pos="1440"/>
        </w:tabs>
        <w:ind w:left="1440" w:hanging="360"/>
      </w:pPr>
    </w:lvl>
    <w:lvl w:ilvl="2" w:tplc="055AAE48">
      <w:start w:val="1"/>
      <w:numFmt w:val="lowerLetter"/>
      <w:lvlText w:val="%3."/>
      <w:lvlJc w:val="left"/>
      <w:pPr>
        <w:tabs>
          <w:tab w:val="num" w:pos="2160"/>
        </w:tabs>
        <w:ind w:left="2160" w:hanging="360"/>
      </w:pPr>
    </w:lvl>
    <w:lvl w:ilvl="3" w:tplc="95E4EB54" w:tentative="1">
      <w:start w:val="1"/>
      <w:numFmt w:val="decimal"/>
      <w:lvlText w:val="%4."/>
      <w:lvlJc w:val="left"/>
      <w:pPr>
        <w:tabs>
          <w:tab w:val="num" w:pos="2880"/>
        </w:tabs>
        <w:ind w:left="2880" w:hanging="360"/>
      </w:pPr>
    </w:lvl>
    <w:lvl w:ilvl="4" w:tplc="98C8B3CC" w:tentative="1">
      <w:start w:val="1"/>
      <w:numFmt w:val="decimal"/>
      <w:lvlText w:val="%5."/>
      <w:lvlJc w:val="left"/>
      <w:pPr>
        <w:tabs>
          <w:tab w:val="num" w:pos="3600"/>
        </w:tabs>
        <w:ind w:left="3600" w:hanging="360"/>
      </w:pPr>
    </w:lvl>
    <w:lvl w:ilvl="5" w:tplc="3C5054FC" w:tentative="1">
      <w:start w:val="1"/>
      <w:numFmt w:val="decimal"/>
      <w:lvlText w:val="%6."/>
      <w:lvlJc w:val="left"/>
      <w:pPr>
        <w:tabs>
          <w:tab w:val="num" w:pos="4320"/>
        </w:tabs>
        <w:ind w:left="4320" w:hanging="360"/>
      </w:pPr>
    </w:lvl>
    <w:lvl w:ilvl="6" w:tplc="B9B01432" w:tentative="1">
      <w:start w:val="1"/>
      <w:numFmt w:val="decimal"/>
      <w:lvlText w:val="%7."/>
      <w:lvlJc w:val="left"/>
      <w:pPr>
        <w:tabs>
          <w:tab w:val="num" w:pos="5040"/>
        </w:tabs>
        <w:ind w:left="5040" w:hanging="360"/>
      </w:pPr>
    </w:lvl>
    <w:lvl w:ilvl="7" w:tplc="4A343380" w:tentative="1">
      <w:start w:val="1"/>
      <w:numFmt w:val="decimal"/>
      <w:lvlText w:val="%8."/>
      <w:lvlJc w:val="left"/>
      <w:pPr>
        <w:tabs>
          <w:tab w:val="num" w:pos="5760"/>
        </w:tabs>
        <w:ind w:left="5760" w:hanging="360"/>
      </w:pPr>
    </w:lvl>
    <w:lvl w:ilvl="8" w:tplc="20604F86" w:tentative="1">
      <w:start w:val="1"/>
      <w:numFmt w:val="decimal"/>
      <w:lvlText w:val="%9."/>
      <w:lvlJc w:val="left"/>
      <w:pPr>
        <w:tabs>
          <w:tab w:val="num" w:pos="6480"/>
        </w:tabs>
        <w:ind w:left="6480" w:hanging="360"/>
      </w:pPr>
    </w:lvl>
  </w:abstractNum>
  <w:abstractNum w:abstractNumId="12" w15:restartNumberingAfterBreak="0">
    <w:nsid w:val="3F432865"/>
    <w:multiLevelType w:val="hybridMultilevel"/>
    <w:tmpl w:val="C53C239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45D120D2"/>
    <w:multiLevelType w:val="hybridMultilevel"/>
    <w:tmpl w:val="D2B4F41C"/>
    <w:lvl w:ilvl="0" w:tplc="E84C6E3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7333824"/>
    <w:multiLevelType w:val="hybridMultilevel"/>
    <w:tmpl w:val="0548F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B507B57"/>
    <w:multiLevelType w:val="hybridMultilevel"/>
    <w:tmpl w:val="14402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EF54411"/>
    <w:multiLevelType w:val="hybridMultilevel"/>
    <w:tmpl w:val="F00E0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D710F23"/>
    <w:multiLevelType w:val="hybridMultilevel"/>
    <w:tmpl w:val="DA324C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3921E79"/>
    <w:multiLevelType w:val="hybridMultilevel"/>
    <w:tmpl w:val="510E1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FF84C06"/>
    <w:multiLevelType w:val="hybridMultilevel"/>
    <w:tmpl w:val="08367332"/>
    <w:lvl w:ilvl="0" w:tplc="0409000F">
      <w:start w:val="1"/>
      <w:numFmt w:val="decimal"/>
      <w:lvlText w:val="%1."/>
      <w:lvlJc w:val="left"/>
      <w:pPr>
        <w:ind w:left="360" w:hanging="360"/>
      </w:pPr>
    </w:lvl>
    <w:lvl w:ilvl="1" w:tplc="E84C6E3C">
      <w:start w:val="1"/>
      <w:numFmt w:val="bullet"/>
      <w:lvlText w:val=""/>
      <w:lvlJc w:val="left"/>
      <w:pPr>
        <w:ind w:left="1080" w:hanging="360"/>
      </w:pPr>
      <w:rPr>
        <w:rFonts w:ascii="Symbol" w:hAnsi="Symbol" w:hint="default"/>
        <w:color w:val="auto"/>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7197798D"/>
    <w:multiLevelType w:val="hybridMultilevel"/>
    <w:tmpl w:val="EED631DC"/>
    <w:lvl w:ilvl="0" w:tplc="D6CE2CCC">
      <w:start w:val="1"/>
      <w:numFmt w:val="bullet"/>
      <w:lvlText w:val=""/>
      <w:lvlJc w:val="left"/>
      <w:pPr>
        <w:ind w:left="1440" w:firstLine="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21" w15:restartNumberingAfterBreak="0">
    <w:nsid w:val="744B4580"/>
    <w:multiLevelType w:val="hybridMultilevel"/>
    <w:tmpl w:val="FA2052EE"/>
    <w:lvl w:ilvl="0" w:tplc="E84C6E3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9300733"/>
    <w:multiLevelType w:val="hybridMultilevel"/>
    <w:tmpl w:val="A956BB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7A8D578C"/>
    <w:multiLevelType w:val="hybridMultilevel"/>
    <w:tmpl w:val="D3E6C40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7FAB206E"/>
    <w:multiLevelType w:val="hybridMultilevel"/>
    <w:tmpl w:val="A59CD6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0"/>
  </w:num>
  <w:num w:numId="2">
    <w:abstractNumId w:val="2"/>
  </w:num>
  <w:num w:numId="3">
    <w:abstractNumId w:val="6"/>
  </w:num>
  <w:num w:numId="4">
    <w:abstractNumId w:val="1"/>
  </w:num>
  <w:num w:numId="5">
    <w:abstractNumId w:val="8"/>
  </w:num>
  <w:num w:numId="6">
    <w:abstractNumId w:val="0"/>
  </w:num>
  <w:num w:numId="7">
    <w:abstractNumId w:val="18"/>
  </w:num>
  <w:num w:numId="8">
    <w:abstractNumId w:val="15"/>
  </w:num>
  <w:num w:numId="9">
    <w:abstractNumId w:val="17"/>
  </w:num>
  <w:num w:numId="10">
    <w:abstractNumId w:val="20"/>
  </w:num>
  <w:num w:numId="11">
    <w:abstractNumId w:val="23"/>
  </w:num>
  <w:num w:numId="12">
    <w:abstractNumId w:val="5"/>
  </w:num>
  <w:num w:numId="13">
    <w:abstractNumId w:val="7"/>
  </w:num>
  <w:num w:numId="14">
    <w:abstractNumId w:val="4"/>
  </w:num>
  <w:num w:numId="15">
    <w:abstractNumId w:val="24"/>
  </w:num>
  <w:num w:numId="16">
    <w:abstractNumId w:val="12"/>
  </w:num>
  <w:num w:numId="17">
    <w:abstractNumId w:val="16"/>
  </w:num>
  <w:num w:numId="18">
    <w:abstractNumId w:val="14"/>
  </w:num>
  <w:num w:numId="19">
    <w:abstractNumId w:val="13"/>
  </w:num>
  <w:num w:numId="20">
    <w:abstractNumId w:val="19"/>
  </w:num>
  <w:num w:numId="21">
    <w:abstractNumId w:val="3"/>
  </w:num>
  <w:num w:numId="22">
    <w:abstractNumId w:val="11"/>
  </w:num>
  <w:num w:numId="23">
    <w:abstractNumId w:val="22"/>
    <w:lvlOverride w:ilvl="0"/>
    <w:lvlOverride w:ilvl="1"/>
    <w:lvlOverride w:ilvl="2"/>
    <w:lvlOverride w:ilvl="3"/>
    <w:lvlOverride w:ilvl="4"/>
    <w:lvlOverride w:ilvl="5"/>
    <w:lvlOverride w:ilvl="6"/>
    <w:lvlOverride w:ilvl="7"/>
    <w:lvlOverride w:ilvl="8"/>
  </w:num>
  <w:num w:numId="24">
    <w:abstractNumId w:val="9"/>
  </w:num>
  <w:num w:numId="25">
    <w:abstractNumId w:val="2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2FA5"/>
    <w:rsid w:val="000101A7"/>
    <w:rsid w:val="0001517A"/>
    <w:rsid w:val="00021495"/>
    <w:rsid w:val="00026A57"/>
    <w:rsid w:val="00026F50"/>
    <w:rsid w:val="00030953"/>
    <w:rsid w:val="0003581F"/>
    <w:rsid w:val="0003721D"/>
    <w:rsid w:val="000405D7"/>
    <w:rsid w:val="000413CD"/>
    <w:rsid w:val="00042FA5"/>
    <w:rsid w:val="000648B8"/>
    <w:rsid w:val="000F4A2C"/>
    <w:rsid w:val="00105ADA"/>
    <w:rsid w:val="00112C61"/>
    <w:rsid w:val="001244ED"/>
    <w:rsid w:val="00135032"/>
    <w:rsid w:val="00143BB2"/>
    <w:rsid w:val="00146F69"/>
    <w:rsid w:val="001500DE"/>
    <w:rsid w:val="001500EC"/>
    <w:rsid w:val="0015654E"/>
    <w:rsid w:val="00166D0D"/>
    <w:rsid w:val="001704B3"/>
    <w:rsid w:val="00180D07"/>
    <w:rsid w:val="00184399"/>
    <w:rsid w:val="00190D8A"/>
    <w:rsid w:val="001A1BAD"/>
    <w:rsid w:val="001A6D07"/>
    <w:rsid w:val="001B2784"/>
    <w:rsid w:val="001B468B"/>
    <w:rsid w:val="001B640B"/>
    <w:rsid w:val="001F007C"/>
    <w:rsid w:val="00205F59"/>
    <w:rsid w:val="00211525"/>
    <w:rsid w:val="002161F2"/>
    <w:rsid w:val="00216CBE"/>
    <w:rsid w:val="0024212C"/>
    <w:rsid w:val="00250465"/>
    <w:rsid w:val="00254095"/>
    <w:rsid w:val="00261029"/>
    <w:rsid w:val="0026156C"/>
    <w:rsid w:val="00267BB3"/>
    <w:rsid w:val="00275CDC"/>
    <w:rsid w:val="0029633F"/>
    <w:rsid w:val="002B7269"/>
    <w:rsid w:val="002C3354"/>
    <w:rsid w:val="002D02BB"/>
    <w:rsid w:val="002D1074"/>
    <w:rsid w:val="002E1F3C"/>
    <w:rsid w:val="002E5696"/>
    <w:rsid w:val="002F541C"/>
    <w:rsid w:val="00302D2E"/>
    <w:rsid w:val="00302E5B"/>
    <w:rsid w:val="003033BC"/>
    <w:rsid w:val="00336507"/>
    <w:rsid w:val="0033721D"/>
    <w:rsid w:val="003426EF"/>
    <w:rsid w:val="00355D37"/>
    <w:rsid w:val="00357876"/>
    <w:rsid w:val="00364416"/>
    <w:rsid w:val="003E4C81"/>
    <w:rsid w:val="00402363"/>
    <w:rsid w:val="0041572E"/>
    <w:rsid w:val="004168DA"/>
    <w:rsid w:val="0042160A"/>
    <w:rsid w:val="00426E01"/>
    <w:rsid w:val="00427AD5"/>
    <w:rsid w:val="00427AE2"/>
    <w:rsid w:val="00431C5E"/>
    <w:rsid w:val="004422CB"/>
    <w:rsid w:val="00446DD4"/>
    <w:rsid w:val="00447977"/>
    <w:rsid w:val="00453EE7"/>
    <w:rsid w:val="004562B6"/>
    <w:rsid w:val="00456679"/>
    <w:rsid w:val="004603E2"/>
    <w:rsid w:val="0047005C"/>
    <w:rsid w:val="00472F16"/>
    <w:rsid w:val="004738F1"/>
    <w:rsid w:val="00476BA4"/>
    <w:rsid w:val="00482FC4"/>
    <w:rsid w:val="0048685F"/>
    <w:rsid w:val="004957CA"/>
    <w:rsid w:val="004A4051"/>
    <w:rsid w:val="004B6A43"/>
    <w:rsid w:val="004C1612"/>
    <w:rsid w:val="004D6825"/>
    <w:rsid w:val="004E6DBD"/>
    <w:rsid w:val="004F15BE"/>
    <w:rsid w:val="004F169C"/>
    <w:rsid w:val="00503FAE"/>
    <w:rsid w:val="005145B4"/>
    <w:rsid w:val="00522C43"/>
    <w:rsid w:val="00537391"/>
    <w:rsid w:val="005379DA"/>
    <w:rsid w:val="005429CB"/>
    <w:rsid w:val="00555607"/>
    <w:rsid w:val="005622EF"/>
    <w:rsid w:val="00565938"/>
    <w:rsid w:val="00570CF8"/>
    <w:rsid w:val="00574AAB"/>
    <w:rsid w:val="0058652E"/>
    <w:rsid w:val="005A3A46"/>
    <w:rsid w:val="005A5145"/>
    <w:rsid w:val="005A652A"/>
    <w:rsid w:val="005B55D1"/>
    <w:rsid w:val="005C0F7E"/>
    <w:rsid w:val="005D16B1"/>
    <w:rsid w:val="005E192B"/>
    <w:rsid w:val="00606D55"/>
    <w:rsid w:val="00623F3F"/>
    <w:rsid w:val="00627F69"/>
    <w:rsid w:val="00634BCE"/>
    <w:rsid w:val="006352D7"/>
    <w:rsid w:val="00675798"/>
    <w:rsid w:val="00686D2E"/>
    <w:rsid w:val="00697436"/>
    <w:rsid w:val="006A601E"/>
    <w:rsid w:val="006B3C26"/>
    <w:rsid w:val="006D5950"/>
    <w:rsid w:val="006E71D7"/>
    <w:rsid w:val="006F35A8"/>
    <w:rsid w:val="006F4121"/>
    <w:rsid w:val="006F7C0F"/>
    <w:rsid w:val="00700891"/>
    <w:rsid w:val="007113A9"/>
    <w:rsid w:val="00723EB9"/>
    <w:rsid w:val="00725A44"/>
    <w:rsid w:val="007263B0"/>
    <w:rsid w:val="00727AD2"/>
    <w:rsid w:val="00733DC8"/>
    <w:rsid w:val="007348CA"/>
    <w:rsid w:val="007408C2"/>
    <w:rsid w:val="0074606A"/>
    <w:rsid w:val="0075247F"/>
    <w:rsid w:val="00766502"/>
    <w:rsid w:val="007704C9"/>
    <w:rsid w:val="00774509"/>
    <w:rsid w:val="00785308"/>
    <w:rsid w:val="00787646"/>
    <w:rsid w:val="00791ECA"/>
    <w:rsid w:val="007A6263"/>
    <w:rsid w:val="007B1897"/>
    <w:rsid w:val="007B4404"/>
    <w:rsid w:val="007C0F54"/>
    <w:rsid w:val="007C2097"/>
    <w:rsid w:val="008140EF"/>
    <w:rsid w:val="008155B2"/>
    <w:rsid w:val="00820FCF"/>
    <w:rsid w:val="008251EA"/>
    <w:rsid w:val="00830768"/>
    <w:rsid w:val="00830CF4"/>
    <w:rsid w:val="008639DD"/>
    <w:rsid w:val="00877D81"/>
    <w:rsid w:val="00880C14"/>
    <w:rsid w:val="008830C9"/>
    <w:rsid w:val="0088686E"/>
    <w:rsid w:val="00890D2D"/>
    <w:rsid w:val="00892B0E"/>
    <w:rsid w:val="0089603A"/>
    <w:rsid w:val="00896E1C"/>
    <w:rsid w:val="008B2856"/>
    <w:rsid w:val="008B5DD4"/>
    <w:rsid w:val="008D6B1E"/>
    <w:rsid w:val="0091517A"/>
    <w:rsid w:val="00917CB4"/>
    <w:rsid w:val="00935BDD"/>
    <w:rsid w:val="00941825"/>
    <w:rsid w:val="009468BF"/>
    <w:rsid w:val="00954247"/>
    <w:rsid w:val="00956C9A"/>
    <w:rsid w:val="009650A1"/>
    <w:rsid w:val="009A0DDA"/>
    <w:rsid w:val="009A1A6F"/>
    <w:rsid w:val="009B2F2A"/>
    <w:rsid w:val="009B7DA7"/>
    <w:rsid w:val="009C0CBB"/>
    <w:rsid w:val="009C7020"/>
    <w:rsid w:val="009D35FC"/>
    <w:rsid w:val="009E5D23"/>
    <w:rsid w:val="00A03ADE"/>
    <w:rsid w:val="00A10EC6"/>
    <w:rsid w:val="00A21E4B"/>
    <w:rsid w:val="00A24BFF"/>
    <w:rsid w:val="00A4206B"/>
    <w:rsid w:val="00A47D0E"/>
    <w:rsid w:val="00A62AE1"/>
    <w:rsid w:val="00A63C9D"/>
    <w:rsid w:val="00A67F0F"/>
    <w:rsid w:val="00A74B63"/>
    <w:rsid w:val="00A76963"/>
    <w:rsid w:val="00A82580"/>
    <w:rsid w:val="00AA1236"/>
    <w:rsid w:val="00AA1810"/>
    <w:rsid w:val="00AA78B3"/>
    <w:rsid w:val="00AA7B93"/>
    <w:rsid w:val="00AC373C"/>
    <w:rsid w:val="00AC5052"/>
    <w:rsid w:val="00B07506"/>
    <w:rsid w:val="00B11EF7"/>
    <w:rsid w:val="00B15146"/>
    <w:rsid w:val="00B152BC"/>
    <w:rsid w:val="00B4271E"/>
    <w:rsid w:val="00B46681"/>
    <w:rsid w:val="00B630AB"/>
    <w:rsid w:val="00B643E5"/>
    <w:rsid w:val="00B64DE7"/>
    <w:rsid w:val="00B7500B"/>
    <w:rsid w:val="00B803DD"/>
    <w:rsid w:val="00B84BE3"/>
    <w:rsid w:val="00BA25AA"/>
    <w:rsid w:val="00BB3854"/>
    <w:rsid w:val="00BC3D0F"/>
    <w:rsid w:val="00BC49DE"/>
    <w:rsid w:val="00BC7D30"/>
    <w:rsid w:val="00BD489E"/>
    <w:rsid w:val="00BE19D2"/>
    <w:rsid w:val="00BE1EAE"/>
    <w:rsid w:val="00BE5AC1"/>
    <w:rsid w:val="00C15009"/>
    <w:rsid w:val="00C23764"/>
    <w:rsid w:val="00C26C73"/>
    <w:rsid w:val="00C31478"/>
    <w:rsid w:val="00C3187E"/>
    <w:rsid w:val="00C334F0"/>
    <w:rsid w:val="00C43CCF"/>
    <w:rsid w:val="00C51D82"/>
    <w:rsid w:val="00C5349F"/>
    <w:rsid w:val="00C6253D"/>
    <w:rsid w:val="00C75911"/>
    <w:rsid w:val="00C80B04"/>
    <w:rsid w:val="00C869C6"/>
    <w:rsid w:val="00C92EED"/>
    <w:rsid w:val="00C92F71"/>
    <w:rsid w:val="00CB0102"/>
    <w:rsid w:val="00CB074D"/>
    <w:rsid w:val="00CB2184"/>
    <w:rsid w:val="00CB3D09"/>
    <w:rsid w:val="00CB6D3F"/>
    <w:rsid w:val="00CE1747"/>
    <w:rsid w:val="00CE35C2"/>
    <w:rsid w:val="00CF23BB"/>
    <w:rsid w:val="00CF58B6"/>
    <w:rsid w:val="00D002E3"/>
    <w:rsid w:val="00D27978"/>
    <w:rsid w:val="00D306F9"/>
    <w:rsid w:val="00D367B9"/>
    <w:rsid w:val="00D403C2"/>
    <w:rsid w:val="00D51751"/>
    <w:rsid w:val="00D65B8C"/>
    <w:rsid w:val="00D757B1"/>
    <w:rsid w:val="00D804D5"/>
    <w:rsid w:val="00D828A3"/>
    <w:rsid w:val="00D82CF0"/>
    <w:rsid w:val="00D9185A"/>
    <w:rsid w:val="00DA090D"/>
    <w:rsid w:val="00DA22AF"/>
    <w:rsid w:val="00DA56A4"/>
    <w:rsid w:val="00DB0367"/>
    <w:rsid w:val="00DC3FD2"/>
    <w:rsid w:val="00DC652A"/>
    <w:rsid w:val="00DD0495"/>
    <w:rsid w:val="00DD172C"/>
    <w:rsid w:val="00DE5A0D"/>
    <w:rsid w:val="00E16500"/>
    <w:rsid w:val="00E22EEE"/>
    <w:rsid w:val="00E429D7"/>
    <w:rsid w:val="00E451C3"/>
    <w:rsid w:val="00E53BD5"/>
    <w:rsid w:val="00E7033D"/>
    <w:rsid w:val="00E737B0"/>
    <w:rsid w:val="00E90116"/>
    <w:rsid w:val="00E93947"/>
    <w:rsid w:val="00E93D99"/>
    <w:rsid w:val="00EB79BE"/>
    <w:rsid w:val="00EC1A3A"/>
    <w:rsid w:val="00EC4096"/>
    <w:rsid w:val="00EC4F53"/>
    <w:rsid w:val="00EC65AD"/>
    <w:rsid w:val="00EF10D0"/>
    <w:rsid w:val="00EF3CE0"/>
    <w:rsid w:val="00F077B3"/>
    <w:rsid w:val="00F1265A"/>
    <w:rsid w:val="00F158A2"/>
    <w:rsid w:val="00F17755"/>
    <w:rsid w:val="00F30B5D"/>
    <w:rsid w:val="00F50945"/>
    <w:rsid w:val="00F72E91"/>
    <w:rsid w:val="00F80EB2"/>
    <w:rsid w:val="00F82782"/>
    <w:rsid w:val="00FD208E"/>
    <w:rsid w:val="00FD3991"/>
    <w:rsid w:val="00FE243E"/>
    <w:rsid w:val="00FE728B"/>
    <w:rsid w:val="00FF0C1E"/>
    <w:rsid w:val="00FF1ED8"/>
    <w:rsid w:val="00FF7D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555A9D89"/>
  <w15:docId w15:val="{B6755535-FFF9-4BC7-BA5B-6CB19CF04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E192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CF58B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CB218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B2184"/>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8D6B1E"/>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CF58B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F58B6"/>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CF58B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CB2184"/>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CB2184"/>
    <w:rPr>
      <w:rFonts w:asciiTheme="majorHAnsi" w:eastAsiaTheme="majorEastAsia" w:hAnsiTheme="majorHAnsi" w:cstheme="majorBidi"/>
      <w:b/>
      <w:bCs/>
      <w:i/>
      <w:iCs/>
      <w:color w:val="4F81BD" w:themeColor="accent1"/>
    </w:rPr>
  </w:style>
  <w:style w:type="paragraph" w:styleId="ListParagraph">
    <w:name w:val="List Paragraph"/>
    <w:basedOn w:val="Normal"/>
    <w:uiPriority w:val="34"/>
    <w:qFormat/>
    <w:rsid w:val="00C6253D"/>
    <w:pPr>
      <w:ind w:left="720"/>
      <w:contextualSpacing/>
    </w:pPr>
  </w:style>
  <w:style w:type="paragraph" w:styleId="Header">
    <w:name w:val="header"/>
    <w:basedOn w:val="Normal"/>
    <w:link w:val="HeaderChar"/>
    <w:uiPriority w:val="99"/>
    <w:unhideWhenUsed/>
    <w:rsid w:val="00AA78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78B3"/>
  </w:style>
  <w:style w:type="paragraph" w:styleId="Footer">
    <w:name w:val="footer"/>
    <w:basedOn w:val="Normal"/>
    <w:link w:val="FooterChar"/>
    <w:uiPriority w:val="99"/>
    <w:unhideWhenUsed/>
    <w:rsid w:val="00AA78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78B3"/>
  </w:style>
  <w:style w:type="paragraph" w:styleId="BalloonText">
    <w:name w:val="Balloon Text"/>
    <w:basedOn w:val="Normal"/>
    <w:link w:val="BalloonTextChar"/>
    <w:uiPriority w:val="99"/>
    <w:semiHidden/>
    <w:unhideWhenUsed/>
    <w:rsid w:val="0078530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5308"/>
    <w:rPr>
      <w:rFonts w:ascii="Segoe UI" w:hAnsi="Segoe UI" w:cs="Segoe UI"/>
      <w:sz w:val="18"/>
      <w:szCs w:val="18"/>
    </w:rPr>
  </w:style>
  <w:style w:type="paragraph" w:styleId="Subtitle">
    <w:name w:val="Subtitle"/>
    <w:basedOn w:val="Normal"/>
    <w:next w:val="Normal"/>
    <w:link w:val="SubtitleChar"/>
    <w:uiPriority w:val="11"/>
    <w:qFormat/>
    <w:rsid w:val="002C335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2C3354"/>
    <w:rPr>
      <w:rFonts w:asciiTheme="majorHAnsi" w:eastAsiaTheme="majorEastAsia" w:hAnsiTheme="majorHAnsi" w:cstheme="majorBidi"/>
      <w:i/>
      <w:iCs/>
      <w:color w:val="4F81BD" w:themeColor="accent1"/>
      <w:spacing w:val="15"/>
      <w:sz w:val="24"/>
      <w:szCs w:val="24"/>
    </w:rPr>
  </w:style>
  <w:style w:type="table" w:styleId="TableGrid">
    <w:name w:val="Table Grid"/>
    <w:basedOn w:val="TableNormal"/>
    <w:uiPriority w:val="59"/>
    <w:rsid w:val="002C33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7033D"/>
    <w:rPr>
      <w:sz w:val="16"/>
      <w:szCs w:val="16"/>
    </w:rPr>
  </w:style>
  <w:style w:type="paragraph" w:styleId="CommentText">
    <w:name w:val="annotation text"/>
    <w:basedOn w:val="Normal"/>
    <w:link w:val="CommentTextChar"/>
    <w:uiPriority w:val="99"/>
    <w:semiHidden/>
    <w:unhideWhenUsed/>
    <w:rsid w:val="00E7033D"/>
    <w:pPr>
      <w:spacing w:line="240" w:lineRule="auto"/>
    </w:pPr>
    <w:rPr>
      <w:sz w:val="20"/>
      <w:szCs w:val="20"/>
    </w:rPr>
  </w:style>
  <w:style w:type="character" w:customStyle="1" w:styleId="CommentTextChar">
    <w:name w:val="Comment Text Char"/>
    <w:basedOn w:val="DefaultParagraphFont"/>
    <w:link w:val="CommentText"/>
    <w:uiPriority w:val="99"/>
    <w:semiHidden/>
    <w:rsid w:val="00E7033D"/>
    <w:rPr>
      <w:sz w:val="20"/>
      <w:szCs w:val="20"/>
    </w:rPr>
  </w:style>
  <w:style w:type="paragraph" w:styleId="CommentSubject">
    <w:name w:val="annotation subject"/>
    <w:basedOn w:val="CommentText"/>
    <w:next w:val="CommentText"/>
    <w:link w:val="CommentSubjectChar"/>
    <w:uiPriority w:val="99"/>
    <w:semiHidden/>
    <w:unhideWhenUsed/>
    <w:rsid w:val="00E7033D"/>
    <w:rPr>
      <w:b/>
      <w:bCs/>
    </w:rPr>
  </w:style>
  <w:style w:type="character" w:customStyle="1" w:styleId="CommentSubjectChar">
    <w:name w:val="Comment Subject Char"/>
    <w:basedOn w:val="CommentTextChar"/>
    <w:link w:val="CommentSubject"/>
    <w:uiPriority w:val="99"/>
    <w:semiHidden/>
    <w:rsid w:val="00E7033D"/>
    <w:rPr>
      <w:b/>
      <w:bCs/>
      <w:sz w:val="20"/>
      <w:szCs w:val="20"/>
    </w:rPr>
  </w:style>
  <w:style w:type="character" w:customStyle="1" w:styleId="BodyTextChar">
    <w:name w:val="Body Text Char"/>
    <w:basedOn w:val="DefaultParagraphFont"/>
    <w:link w:val="BodyText"/>
    <w:rsid w:val="00E7033D"/>
    <w:rPr>
      <w:rFonts w:ascii="Segoe UI Semilight" w:hAnsi="Segoe UI Semilight"/>
      <w:kern w:val="20"/>
      <w:szCs w:val="18"/>
      <w14:ligatures w14:val="standardContextual"/>
    </w:rPr>
  </w:style>
  <w:style w:type="paragraph" w:styleId="BodyText">
    <w:name w:val="Body Text"/>
    <w:link w:val="BodyTextChar"/>
    <w:qFormat/>
    <w:rsid w:val="00E7033D"/>
    <w:pPr>
      <w:spacing w:before="120" w:after="120" w:line="240" w:lineRule="atLeast"/>
      <w:jc w:val="both"/>
    </w:pPr>
    <w:rPr>
      <w:rFonts w:ascii="Segoe UI Semilight" w:hAnsi="Segoe UI Semilight"/>
      <w:kern w:val="20"/>
      <w:szCs w:val="18"/>
      <w14:ligatures w14:val="standardContextual"/>
    </w:rPr>
  </w:style>
  <w:style w:type="character" w:customStyle="1" w:styleId="BodyTextChar1">
    <w:name w:val="Body Text Char1"/>
    <w:basedOn w:val="DefaultParagraphFont"/>
    <w:uiPriority w:val="99"/>
    <w:semiHidden/>
    <w:rsid w:val="00E7033D"/>
  </w:style>
  <w:style w:type="table" w:customStyle="1" w:styleId="AEGReportTable-Basic">
    <w:name w:val="AEG Report Table - Basic"/>
    <w:basedOn w:val="TableNormal"/>
    <w:uiPriority w:val="99"/>
    <w:rsid w:val="00E7033D"/>
    <w:pPr>
      <w:spacing w:after="0" w:line="240" w:lineRule="auto"/>
      <w:jc w:val="right"/>
    </w:pPr>
    <w:rPr>
      <w:rFonts w:ascii="Calibri" w:eastAsia="Times New Roman" w:hAnsi="Calibri" w:cs="Times New Roman"/>
      <w:color w:val="1C1D4D"/>
      <w:sz w:val="18"/>
      <w:szCs w:val="20"/>
    </w:rPr>
    <w:tblPr>
      <w:tblStyleRowBandSize w:val="1"/>
      <w:tblStyleColBandSize w:val="1"/>
      <w:tblBorders>
        <w:bottom w:val="single" w:sz="4" w:space="0" w:color="FF7F00"/>
        <w:insideH w:val="single" w:sz="4" w:space="0" w:color="FF7F00"/>
      </w:tblBorders>
      <w:tblCellMar>
        <w:top w:w="29" w:type="dxa"/>
        <w:left w:w="115" w:type="dxa"/>
        <w:bottom w:w="29" w:type="dxa"/>
        <w:right w:w="115" w:type="dxa"/>
      </w:tblCellMar>
    </w:tblPr>
    <w:tcPr>
      <w:vAlign w:val="center"/>
    </w:tcPr>
    <w:tblStylePr w:type="firstRow">
      <w:pPr>
        <w:jc w:val="center"/>
      </w:pPr>
      <w:rPr>
        <w:b/>
        <w:color w:val="FFFFFF"/>
      </w:rPr>
      <w:tblPr/>
      <w:tcPr>
        <w:tcBorders>
          <w:top w:val="nil"/>
          <w:left w:val="nil"/>
          <w:bottom w:val="nil"/>
          <w:right w:val="nil"/>
          <w:insideH w:val="nil"/>
          <w:insideV w:val="nil"/>
          <w:tl2br w:val="nil"/>
          <w:tr2bl w:val="nil"/>
        </w:tcBorders>
        <w:shd w:val="clear" w:color="auto" w:fill="1C1D4D"/>
      </w:tcPr>
    </w:tblStylePr>
    <w:tblStylePr w:type="lastRow">
      <w:rPr>
        <w:b/>
        <w:color w:val="auto"/>
      </w:rPr>
    </w:tblStylePr>
    <w:tblStylePr w:type="firstCol">
      <w:pPr>
        <w:jc w:val="left"/>
      </w:pPr>
      <w:rPr>
        <w:b/>
        <w:color w:val="auto"/>
      </w:rPr>
    </w:tblStylePr>
    <w:tblStylePr w:type="band2Vert">
      <w:tblPr/>
      <w:tcPr>
        <w:shd w:val="clear" w:color="auto" w:fill="F2F2F2"/>
      </w:tcPr>
    </w:tblStylePr>
    <w:tblStylePr w:type="band2Horz">
      <w:rPr>
        <w:color w:val="1C1D4D"/>
      </w:rPr>
      <w:tblPr/>
      <w:tcPr>
        <w:shd w:val="clear" w:color="auto" w:fill="F2F2F2"/>
      </w:tcPr>
    </w:tblStylePr>
  </w:style>
  <w:style w:type="character" w:styleId="Hyperlink">
    <w:name w:val="Hyperlink"/>
    <w:basedOn w:val="DefaultParagraphFont"/>
    <w:uiPriority w:val="99"/>
    <w:unhideWhenUsed/>
    <w:rsid w:val="00DD172C"/>
    <w:rPr>
      <w:color w:val="0000FF" w:themeColor="hyperlink"/>
      <w:u w:val="single"/>
    </w:rPr>
  </w:style>
  <w:style w:type="character" w:styleId="UnresolvedMention">
    <w:name w:val="Unresolved Mention"/>
    <w:basedOn w:val="DefaultParagraphFont"/>
    <w:uiPriority w:val="99"/>
    <w:semiHidden/>
    <w:unhideWhenUsed/>
    <w:rsid w:val="00DD172C"/>
    <w:rPr>
      <w:color w:val="808080"/>
      <w:shd w:val="clear" w:color="auto" w:fill="E6E6E6"/>
    </w:rPr>
  </w:style>
  <w:style w:type="character" w:customStyle="1" w:styleId="ParHeaderChar">
    <w:name w:val="Par Header Char"/>
    <w:basedOn w:val="DefaultParagraphFont"/>
    <w:link w:val="ParHeader"/>
    <w:locked/>
    <w:rsid w:val="001244ED"/>
    <w:rPr>
      <w:rFonts w:ascii="Avenir Black" w:hAnsi="Avenir Black"/>
      <w:b/>
      <w:bCs/>
      <w:color w:val="25907F"/>
    </w:rPr>
  </w:style>
  <w:style w:type="paragraph" w:customStyle="1" w:styleId="ParHeader">
    <w:name w:val="Par Header"/>
    <w:basedOn w:val="Normal"/>
    <w:link w:val="ParHeaderChar"/>
    <w:rsid w:val="001244ED"/>
    <w:rPr>
      <w:rFonts w:ascii="Avenir Black" w:hAnsi="Avenir Black"/>
      <w:b/>
      <w:bCs/>
      <w:color w:val="25907F"/>
    </w:rPr>
  </w:style>
  <w:style w:type="character" w:styleId="SubtleEmphasis">
    <w:name w:val="Subtle Emphasis"/>
    <w:basedOn w:val="DefaultParagraphFont"/>
    <w:uiPriority w:val="19"/>
    <w:qFormat/>
    <w:rsid w:val="001500DE"/>
    <w:rPr>
      <w:i/>
      <w:iCs/>
      <w:color w:val="404040" w:themeColor="text1" w:themeTint="BF"/>
    </w:rPr>
  </w:style>
  <w:style w:type="character" w:customStyle="1" w:styleId="Heading5Char">
    <w:name w:val="Heading 5 Char"/>
    <w:basedOn w:val="DefaultParagraphFont"/>
    <w:link w:val="Heading5"/>
    <w:uiPriority w:val="9"/>
    <w:rsid w:val="008D6B1E"/>
    <w:rPr>
      <w:rFonts w:asciiTheme="majorHAnsi" w:eastAsiaTheme="majorEastAsia" w:hAnsiTheme="majorHAnsi" w:cstheme="majorBidi"/>
      <w:color w:val="365F91" w:themeColor="accent1" w:themeShade="BF"/>
    </w:rPr>
  </w:style>
  <w:style w:type="character" w:styleId="FollowedHyperlink">
    <w:name w:val="FollowedHyperlink"/>
    <w:basedOn w:val="DefaultParagraphFont"/>
    <w:uiPriority w:val="99"/>
    <w:semiHidden/>
    <w:unhideWhenUsed/>
    <w:rsid w:val="007B1897"/>
    <w:rPr>
      <w:color w:val="800080" w:themeColor="followedHyperlink"/>
      <w:u w:val="single"/>
    </w:rPr>
  </w:style>
  <w:style w:type="character" w:customStyle="1" w:styleId="Heading1Char">
    <w:name w:val="Heading 1 Char"/>
    <w:basedOn w:val="DefaultParagraphFont"/>
    <w:link w:val="Heading1"/>
    <w:uiPriority w:val="9"/>
    <w:rsid w:val="005E192B"/>
    <w:rPr>
      <w:rFonts w:asciiTheme="majorHAnsi" w:eastAsiaTheme="majorEastAsia" w:hAnsiTheme="majorHAnsi" w:cstheme="majorBidi"/>
      <w:color w:val="365F91" w:themeColor="accent1" w:themeShade="BF"/>
      <w:sz w:val="32"/>
      <w:szCs w:val="32"/>
    </w:rPr>
  </w:style>
  <w:style w:type="character" w:styleId="BookTitle">
    <w:name w:val="Book Title"/>
    <w:basedOn w:val="DefaultParagraphFont"/>
    <w:uiPriority w:val="33"/>
    <w:qFormat/>
    <w:rsid w:val="005E192B"/>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025509">
      <w:bodyDiv w:val="1"/>
      <w:marLeft w:val="0"/>
      <w:marRight w:val="0"/>
      <w:marTop w:val="0"/>
      <w:marBottom w:val="0"/>
      <w:divBdr>
        <w:top w:val="none" w:sz="0" w:space="0" w:color="auto"/>
        <w:left w:val="none" w:sz="0" w:space="0" w:color="auto"/>
        <w:bottom w:val="none" w:sz="0" w:space="0" w:color="auto"/>
        <w:right w:val="none" w:sz="0" w:space="0" w:color="auto"/>
      </w:divBdr>
    </w:div>
    <w:div w:id="82266755">
      <w:bodyDiv w:val="1"/>
      <w:marLeft w:val="0"/>
      <w:marRight w:val="0"/>
      <w:marTop w:val="0"/>
      <w:marBottom w:val="0"/>
      <w:divBdr>
        <w:top w:val="none" w:sz="0" w:space="0" w:color="auto"/>
        <w:left w:val="none" w:sz="0" w:space="0" w:color="auto"/>
        <w:bottom w:val="none" w:sz="0" w:space="0" w:color="auto"/>
        <w:right w:val="none" w:sz="0" w:space="0" w:color="auto"/>
      </w:divBdr>
    </w:div>
    <w:div w:id="90860659">
      <w:bodyDiv w:val="1"/>
      <w:marLeft w:val="0"/>
      <w:marRight w:val="0"/>
      <w:marTop w:val="0"/>
      <w:marBottom w:val="0"/>
      <w:divBdr>
        <w:top w:val="none" w:sz="0" w:space="0" w:color="auto"/>
        <w:left w:val="none" w:sz="0" w:space="0" w:color="auto"/>
        <w:bottom w:val="none" w:sz="0" w:space="0" w:color="auto"/>
        <w:right w:val="none" w:sz="0" w:space="0" w:color="auto"/>
      </w:divBdr>
    </w:div>
    <w:div w:id="91319096">
      <w:bodyDiv w:val="1"/>
      <w:marLeft w:val="0"/>
      <w:marRight w:val="0"/>
      <w:marTop w:val="0"/>
      <w:marBottom w:val="0"/>
      <w:divBdr>
        <w:top w:val="none" w:sz="0" w:space="0" w:color="auto"/>
        <w:left w:val="none" w:sz="0" w:space="0" w:color="auto"/>
        <w:bottom w:val="none" w:sz="0" w:space="0" w:color="auto"/>
        <w:right w:val="none" w:sz="0" w:space="0" w:color="auto"/>
      </w:divBdr>
    </w:div>
    <w:div w:id="111705036">
      <w:bodyDiv w:val="1"/>
      <w:marLeft w:val="0"/>
      <w:marRight w:val="0"/>
      <w:marTop w:val="0"/>
      <w:marBottom w:val="0"/>
      <w:divBdr>
        <w:top w:val="none" w:sz="0" w:space="0" w:color="auto"/>
        <w:left w:val="none" w:sz="0" w:space="0" w:color="auto"/>
        <w:bottom w:val="none" w:sz="0" w:space="0" w:color="auto"/>
        <w:right w:val="none" w:sz="0" w:space="0" w:color="auto"/>
      </w:divBdr>
    </w:div>
    <w:div w:id="228541068">
      <w:bodyDiv w:val="1"/>
      <w:marLeft w:val="0"/>
      <w:marRight w:val="0"/>
      <w:marTop w:val="0"/>
      <w:marBottom w:val="0"/>
      <w:divBdr>
        <w:top w:val="none" w:sz="0" w:space="0" w:color="auto"/>
        <w:left w:val="none" w:sz="0" w:space="0" w:color="auto"/>
        <w:bottom w:val="none" w:sz="0" w:space="0" w:color="auto"/>
        <w:right w:val="none" w:sz="0" w:space="0" w:color="auto"/>
      </w:divBdr>
    </w:div>
    <w:div w:id="314067864">
      <w:bodyDiv w:val="1"/>
      <w:marLeft w:val="0"/>
      <w:marRight w:val="0"/>
      <w:marTop w:val="0"/>
      <w:marBottom w:val="0"/>
      <w:divBdr>
        <w:top w:val="none" w:sz="0" w:space="0" w:color="auto"/>
        <w:left w:val="none" w:sz="0" w:space="0" w:color="auto"/>
        <w:bottom w:val="none" w:sz="0" w:space="0" w:color="auto"/>
        <w:right w:val="none" w:sz="0" w:space="0" w:color="auto"/>
      </w:divBdr>
    </w:div>
    <w:div w:id="326832146">
      <w:bodyDiv w:val="1"/>
      <w:marLeft w:val="0"/>
      <w:marRight w:val="0"/>
      <w:marTop w:val="0"/>
      <w:marBottom w:val="0"/>
      <w:divBdr>
        <w:top w:val="none" w:sz="0" w:space="0" w:color="auto"/>
        <w:left w:val="none" w:sz="0" w:space="0" w:color="auto"/>
        <w:bottom w:val="none" w:sz="0" w:space="0" w:color="auto"/>
        <w:right w:val="none" w:sz="0" w:space="0" w:color="auto"/>
      </w:divBdr>
    </w:div>
    <w:div w:id="356153057">
      <w:bodyDiv w:val="1"/>
      <w:marLeft w:val="0"/>
      <w:marRight w:val="0"/>
      <w:marTop w:val="0"/>
      <w:marBottom w:val="0"/>
      <w:divBdr>
        <w:top w:val="none" w:sz="0" w:space="0" w:color="auto"/>
        <w:left w:val="none" w:sz="0" w:space="0" w:color="auto"/>
        <w:bottom w:val="none" w:sz="0" w:space="0" w:color="auto"/>
        <w:right w:val="none" w:sz="0" w:space="0" w:color="auto"/>
      </w:divBdr>
    </w:div>
    <w:div w:id="378290212">
      <w:bodyDiv w:val="1"/>
      <w:marLeft w:val="0"/>
      <w:marRight w:val="0"/>
      <w:marTop w:val="0"/>
      <w:marBottom w:val="0"/>
      <w:divBdr>
        <w:top w:val="none" w:sz="0" w:space="0" w:color="auto"/>
        <w:left w:val="none" w:sz="0" w:space="0" w:color="auto"/>
        <w:bottom w:val="none" w:sz="0" w:space="0" w:color="auto"/>
        <w:right w:val="none" w:sz="0" w:space="0" w:color="auto"/>
      </w:divBdr>
    </w:div>
    <w:div w:id="478765121">
      <w:bodyDiv w:val="1"/>
      <w:marLeft w:val="0"/>
      <w:marRight w:val="0"/>
      <w:marTop w:val="0"/>
      <w:marBottom w:val="0"/>
      <w:divBdr>
        <w:top w:val="none" w:sz="0" w:space="0" w:color="auto"/>
        <w:left w:val="none" w:sz="0" w:space="0" w:color="auto"/>
        <w:bottom w:val="none" w:sz="0" w:space="0" w:color="auto"/>
        <w:right w:val="none" w:sz="0" w:space="0" w:color="auto"/>
      </w:divBdr>
    </w:div>
    <w:div w:id="502477874">
      <w:bodyDiv w:val="1"/>
      <w:marLeft w:val="0"/>
      <w:marRight w:val="0"/>
      <w:marTop w:val="0"/>
      <w:marBottom w:val="0"/>
      <w:divBdr>
        <w:top w:val="none" w:sz="0" w:space="0" w:color="auto"/>
        <w:left w:val="none" w:sz="0" w:space="0" w:color="auto"/>
        <w:bottom w:val="none" w:sz="0" w:space="0" w:color="auto"/>
        <w:right w:val="none" w:sz="0" w:space="0" w:color="auto"/>
      </w:divBdr>
    </w:div>
    <w:div w:id="517816347">
      <w:bodyDiv w:val="1"/>
      <w:marLeft w:val="0"/>
      <w:marRight w:val="0"/>
      <w:marTop w:val="0"/>
      <w:marBottom w:val="0"/>
      <w:divBdr>
        <w:top w:val="none" w:sz="0" w:space="0" w:color="auto"/>
        <w:left w:val="none" w:sz="0" w:space="0" w:color="auto"/>
        <w:bottom w:val="none" w:sz="0" w:space="0" w:color="auto"/>
        <w:right w:val="none" w:sz="0" w:space="0" w:color="auto"/>
      </w:divBdr>
    </w:div>
    <w:div w:id="519700796">
      <w:bodyDiv w:val="1"/>
      <w:marLeft w:val="0"/>
      <w:marRight w:val="0"/>
      <w:marTop w:val="0"/>
      <w:marBottom w:val="0"/>
      <w:divBdr>
        <w:top w:val="none" w:sz="0" w:space="0" w:color="auto"/>
        <w:left w:val="none" w:sz="0" w:space="0" w:color="auto"/>
        <w:bottom w:val="none" w:sz="0" w:space="0" w:color="auto"/>
        <w:right w:val="none" w:sz="0" w:space="0" w:color="auto"/>
      </w:divBdr>
    </w:div>
    <w:div w:id="526406158">
      <w:bodyDiv w:val="1"/>
      <w:marLeft w:val="0"/>
      <w:marRight w:val="0"/>
      <w:marTop w:val="0"/>
      <w:marBottom w:val="0"/>
      <w:divBdr>
        <w:top w:val="none" w:sz="0" w:space="0" w:color="auto"/>
        <w:left w:val="none" w:sz="0" w:space="0" w:color="auto"/>
        <w:bottom w:val="none" w:sz="0" w:space="0" w:color="auto"/>
        <w:right w:val="none" w:sz="0" w:space="0" w:color="auto"/>
      </w:divBdr>
    </w:div>
    <w:div w:id="566695359">
      <w:bodyDiv w:val="1"/>
      <w:marLeft w:val="0"/>
      <w:marRight w:val="0"/>
      <w:marTop w:val="0"/>
      <w:marBottom w:val="0"/>
      <w:divBdr>
        <w:top w:val="none" w:sz="0" w:space="0" w:color="auto"/>
        <w:left w:val="none" w:sz="0" w:space="0" w:color="auto"/>
        <w:bottom w:val="none" w:sz="0" w:space="0" w:color="auto"/>
        <w:right w:val="none" w:sz="0" w:space="0" w:color="auto"/>
      </w:divBdr>
    </w:div>
    <w:div w:id="644357241">
      <w:bodyDiv w:val="1"/>
      <w:marLeft w:val="0"/>
      <w:marRight w:val="0"/>
      <w:marTop w:val="0"/>
      <w:marBottom w:val="0"/>
      <w:divBdr>
        <w:top w:val="none" w:sz="0" w:space="0" w:color="auto"/>
        <w:left w:val="none" w:sz="0" w:space="0" w:color="auto"/>
        <w:bottom w:val="none" w:sz="0" w:space="0" w:color="auto"/>
        <w:right w:val="none" w:sz="0" w:space="0" w:color="auto"/>
      </w:divBdr>
      <w:divsChild>
        <w:div w:id="981349047">
          <w:marLeft w:val="562"/>
          <w:marRight w:val="0"/>
          <w:marTop w:val="100"/>
          <w:marBottom w:val="0"/>
          <w:divBdr>
            <w:top w:val="none" w:sz="0" w:space="0" w:color="auto"/>
            <w:left w:val="none" w:sz="0" w:space="0" w:color="auto"/>
            <w:bottom w:val="none" w:sz="0" w:space="0" w:color="auto"/>
            <w:right w:val="none" w:sz="0" w:space="0" w:color="auto"/>
          </w:divBdr>
        </w:div>
        <w:div w:id="210769894">
          <w:marLeft w:val="922"/>
          <w:marRight w:val="0"/>
          <w:marTop w:val="100"/>
          <w:marBottom w:val="0"/>
          <w:divBdr>
            <w:top w:val="none" w:sz="0" w:space="0" w:color="auto"/>
            <w:left w:val="none" w:sz="0" w:space="0" w:color="auto"/>
            <w:bottom w:val="none" w:sz="0" w:space="0" w:color="auto"/>
            <w:right w:val="none" w:sz="0" w:space="0" w:color="auto"/>
          </w:divBdr>
        </w:div>
        <w:div w:id="1314867274">
          <w:marLeft w:val="922"/>
          <w:marRight w:val="0"/>
          <w:marTop w:val="100"/>
          <w:marBottom w:val="0"/>
          <w:divBdr>
            <w:top w:val="none" w:sz="0" w:space="0" w:color="auto"/>
            <w:left w:val="none" w:sz="0" w:space="0" w:color="auto"/>
            <w:bottom w:val="none" w:sz="0" w:space="0" w:color="auto"/>
            <w:right w:val="none" w:sz="0" w:space="0" w:color="auto"/>
          </w:divBdr>
        </w:div>
        <w:div w:id="1981377537">
          <w:marLeft w:val="922"/>
          <w:marRight w:val="0"/>
          <w:marTop w:val="100"/>
          <w:marBottom w:val="0"/>
          <w:divBdr>
            <w:top w:val="none" w:sz="0" w:space="0" w:color="auto"/>
            <w:left w:val="none" w:sz="0" w:space="0" w:color="auto"/>
            <w:bottom w:val="none" w:sz="0" w:space="0" w:color="auto"/>
            <w:right w:val="none" w:sz="0" w:space="0" w:color="auto"/>
          </w:divBdr>
        </w:div>
        <w:div w:id="1827089802">
          <w:marLeft w:val="562"/>
          <w:marRight w:val="0"/>
          <w:marTop w:val="100"/>
          <w:marBottom w:val="0"/>
          <w:divBdr>
            <w:top w:val="none" w:sz="0" w:space="0" w:color="auto"/>
            <w:left w:val="none" w:sz="0" w:space="0" w:color="auto"/>
            <w:bottom w:val="none" w:sz="0" w:space="0" w:color="auto"/>
            <w:right w:val="none" w:sz="0" w:space="0" w:color="auto"/>
          </w:divBdr>
        </w:div>
        <w:div w:id="711687449">
          <w:marLeft w:val="562"/>
          <w:marRight w:val="0"/>
          <w:marTop w:val="100"/>
          <w:marBottom w:val="0"/>
          <w:divBdr>
            <w:top w:val="none" w:sz="0" w:space="0" w:color="auto"/>
            <w:left w:val="none" w:sz="0" w:space="0" w:color="auto"/>
            <w:bottom w:val="none" w:sz="0" w:space="0" w:color="auto"/>
            <w:right w:val="none" w:sz="0" w:space="0" w:color="auto"/>
          </w:divBdr>
        </w:div>
        <w:div w:id="667447225">
          <w:marLeft w:val="562"/>
          <w:marRight w:val="0"/>
          <w:marTop w:val="100"/>
          <w:marBottom w:val="0"/>
          <w:divBdr>
            <w:top w:val="none" w:sz="0" w:space="0" w:color="auto"/>
            <w:left w:val="none" w:sz="0" w:space="0" w:color="auto"/>
            <w:bottom w:val="none" w:sz="0" w:space="0" w:color="auto"/>
            <w:right w:val="none" w:sz="0" w:space="0" w:color="auto"/>
          </w:divBdr>
        </w:div>
        <w:div w:id="1967006934">
          <w:marLeft w:val="922"/>
          <w:marRight w:val="0"/>
          <w:marTop w:val="100"/>
          <w:marBottom w:val="0"/>
          <w:divBdr>
            <w:top w:val="none" w:sz="0" w:space="0" w:color="auto"/>
            <w:left w:val="none" w:sz="0" w:space="0" w:color="auto"/>
            <w:bottom w:val="none" w:sz="0" w:space="0" w:color="auto"/>
            <w:right w:val="none" w:sz="0" w:space="0" w:color="auto"/>
          </w:divBdr>
        </w:div>
        <w:div w:id="789473224">
          <w:marLeft w:val="922"/>
          <w:marRight w:val="0"/>
          <w:marTop w:val="100"/>
          <w:marBottom w:val="0"/>
          <w:divBdr>
            <w:top w:val="none" w:sz="0" w:space="0" w:color="auto"/>
            <w:left w:val="none" w:sz="0" w:space="0" w:color="auto"/>
            <w:bottom w:val="none" w:sz="0" w:space="0" w:color="auto"/>
            <w:right w:val="none" w:sz="0" w:space="0" w:color="auto"/>
          </w:divBdr>
        </w:div>
        <w:div w:id="2056199261">
          <w:marLeft w:val="922"/>
          <w:marRight w:val="0"/>
          <w:marTop w:val="100"/>
          <w:marBottom w:val="0"/>
          <w:divBdr>
            <w:top w:val="none" w:sz="0" w:space="0" w:color="auto"/>
            <w:left w:val="none" w:sz="0" w:space="0" w:color="auto"/>
            <w:bottom w:val="none" w:sz="0" w:space="0" w:color="auto"/>
            <w:right w:val="none" w:sz="0" w:space="0" w:color="auto"/>
          </w:divBdr>
        </w:div>
      </w:divsChild>
    </w:div>
    <w:div w:id="698359915">
      <w:bodyDiv w:val="1"/>
      <w:marLeft w:val="0"/>
      <w:marRight w:val="0"/>
      <w:marTop w:val="0"/>
      <w:marBottom w:val="0"/>
      <w:divBdr>
        <w:top w:val="none" w:sz="0" w:space="0" w:color="auto"/>
        <w:left w:val="none" w:sz="0" w:space="0" w:color="auto"/>
        <w:bottom w:val="none" w:sz="0" w:space="0" w:color="auto"/>
        <w:right w:val="none" w:sz="0" w:space="0" w:color="auto"/>
      </w:divBdr>
    </w:div>
    <w:div w:id="773208631">
      <w:bodyDiv w:val="1"/>
      <w:marLeft w:val="0"/>
      <w:marRight w:val="0"/>
      <w:marTop w:val="0"/>
      <w:marBottom w:val="0"/>
      <w:divBdr>
        <w:top w:val="none" w:sz="0" w:space="0" w:color="auto"/>
        <w:left w:val="none" w:sz="0" w:space="0" w:color="auto"/>
        <w:bottom w:val="none" w:sz="0" w:space="0" w:color="auto"/>
        <w:right w:val="none" w:sz="0" w:space="0" w:color="auto"/>
      </w:divBdr>
    </w:div>
    <w:div w:id="828252046">
      <w:bodyDiv w:val="1"/>
      <w:marLeft w:val="0"/>
      <w:marRight w:val="0"/>
      <w:marTop w:val="0"/>
      <w:marBottom w:val="0"/>
      <w:divBdr>
        <w:top w:val="none" w:sz="0" w:space="0" w:color="auto"/>
        <w:left w:val="none" w:sz="0" w:space="0" w:color="auto"/>
        <w:bottom w:val="none" w:sz="0" w:space="0" w:color="auto"/>
        <w:right w:val="none" w:sz="0" w:space="0" w:color="auto"/>
      </w:divBdr>
    </w:div>
    <w:div w:id="841628721">
      <w:bodyDiv w:val="1"/>
      <w:marLeft w:val="0"/>
      <w:marRight w:val="0"/>
      <w:marTop w:val="0"/>
      <w:marBottom w:val="0"/>
      <w:divBdr>
        <w:top w:val="none" w:sz="0" w:space="0" w:color="auto"/>
        <w:left w:val="none" w:sz="0" w:space="0" w:color="auto"/>
        <w:bottom w:val="none" w:sz="0" w:space="0" w:color="auto"/>
        <w:right w:val="none" w:sz="0" w:space="0" w:color="auto"/>
      </w:divBdr>
    </w:div>
    <w:div w:id="862085840">
      <w:bodyDiv w:val="1"/>
      <w:marLeft w:val="0"/>
      <w:marRight w:val="0"/>
      <w:marTop w:val="0"/>
      <w:marBottom w:val="0"/>
      <w:divBdr>
        <w:top w:val="none" w:sz="0" w:space="0" w:color="auto"/>
        <w:left w:val="none" w:sz="0" w:space="0" w:color="auto"/>
        <w:bottom w:val="none" w:sz="0" w:space="0" w:color="auto"/>
        <w:right w:val="none" w:sz="0" w:space="0" w:color="auto"/>
      </w:divBdr>
    </w:div>
    <w:div w:id="875238870">
      <w:bodyDiv w:val="1"/>
      <w:marLeft w:val="0"/>
      <w:marRight w:val="0"/>
      <w:marTop w:val="0"/>
      <w:marBottom w:val="0"/>
      <w:divBdr>
        <w:top w:val="none" w:sz="0" w:space="0" w:color="auto"/>
        <w:left w:val="none" w:sz="0" w:space="0" w:color="auto"/>
        <w:bottom w:val="none" w:sz="0" w:space="0" w:color="auto"/>
        <w:right w:val="none" w:sz="0" w:space="0" w:color="auto"/>
      </w:divBdr>
    </w:div>
    <w:div w:id="918638861">
      <w:bodyDiv w:val="1"/>
      <w:marLeft w:val="0"/>
      <w:marRight w:val="0"/>
      <w:marTop w:val="0"/>
      <w:marBottom w:val="0"/>
      <w:divBdr>
        <w:top w:val="none" w:sz="0" w:space="0" w:color="auto"/>
        <w:left w:val="none" w:sz="0" w:space="0" w:color="auto"/>
        <w:bottom w:val="none" w:sz="0" w:space="0" w:color="auto"/>
        <w:right w:val="none" w:sz="0" w:space="0" w:color="auto"/>
      </w:divBdr>
    </w:div>
    <w:div w:id="928276663">
      <w:bodyDiv w:val="1"/>
      <w:marLeft w:val="0"/>
      <w:marRight w:val="0"/>
      <w:marTop w:val="0"/>
      <w:marBottom w:val="0"/>
      <w:divBdr>
        <w:top w:val="none" w:sz="0" w:space="0" w:color="auto"/>
        <w:left w:val="none" w:sz="0" w:space="0" w:color="auto"/>
        <w:bottom w:val="none" w:sz="0" w:space="0" w:color="auto"/>
        <w:right w:val="none" w:sz="0" w:space="0" w:color="auto"/>
      </w:divBdr>
    </w:div>
    <w:div w:id="944463054">
      <w:bodyDiv w:val="1"/>
      <w:marLeft w:val="0"/>
      <w:marRight w:val="0"/>
      <w:marTop w:val="0"/>
      <w:marBottom w:val="0"/>
      <w:divBdr>
        <w:top w:val="none" w:sz="0" w:space="0" w:color="auto"/>
        <w:left w:val="none" w:sz="0" w:space="0" w:color="auto"/>
        <w:bottom w:val="none" w:sz="0" w:space="0" w:color="auto"/>
        <w:right w:val="none" w:sz="0" w:space="0" w:color="auto"/>
      </w:divBdr>
    </w:div>
    <w:div w:id="945497924">
      <w:bodyDiv w:val="1"/>
      <w:marLeft w:val="0"/>
      <w:marRight w:val="0"/>
      <w:marTop w:val="0"/>
      <w:marBottom w:val="0"/>
      <w:divBdr>
        <w:top w:val="none" w:sz="0" w:space="0" w:color="auto"/>
        <w:left w:val="none" w:sz="0" w:space="0" w:color="auto"/>
        <w:bottom w:val="none" w:sz="0" w:space="0" w:color="auto"/>
        <w:right w:val="none" w:sz="0" w:space="0" w:color="auto"/>
      </w:divBdr>
    </w:div>
    <w:div w:id="984627142">
      <w:bodyDiv w:val="1"/>
      <w:marLeft w:val="0"/>
      <w:marRight w:val="0"/>
      <w:marTop w:val="0"/>
      <w:marBottom w:val="0"/>
      <w:divBdr>
        <w:top w:val="none" w:sz="0" w:space="0" w:color="auto"/>
        <w:left w:val="none" w:sz="0" w:space="0" w:color="auto"/>
        <w:bottom w:val="none" w:sz="0" w:space="0" w:color="auto"/>
        <w:right w:val="none" w:sz="0" w:space="0" w:color="auto"/>
      </w:divBdr>
    </w:div>
    <w:div w:id="1007754282">
      <w:bodyDiv w:val="1"/>
      <w:marLeft w:val="0"/>
      <w:marRight w:val="0"/>
      <w:marTop w:val="0"/>
      <w:marBottom w:val="0"/>
      <w:divBdr>
        <w:top w:val="none" w:sz="0" w:space="0" w:color="auto"/>
        <w:left w:val="none" w:sz="0" w:space="0" w:color="auto"/>
        <w:bottom w:val="none" w:sz="0" w:space="0" w:color="auto"/>
        <w:right w:val="none" w:sz="0" w:space="0" w:color="auto"/>
      </w:divBdr>
    </w:div>
    <w:div w:id="1034041451">
      <w:bodyDiv w:val="1"/>
      <w:marLeft w:val="0"/>
      <w:marRight w:val="0"/>
      <w:marTop w:val="0"/>
      <w:marBottom w:val="0"/>
      <w:divBdr>
        <w:top w:val="none" w:sz="0" w:space="0" w:color="auto"/>
        <w:left w:val="none" w:sz="0" w:space="0" w:color="auto"/>
        <w:bottom w:val="none" w:sz="0" w:space="0" w:color="auto"/>
        <w:right w:val="none" w:sz="0" w:space="0" w:color="auto"/>
      </w:divBdr>
    </w:div>
    <w:div w:id="1079905869">
      <w:bodyDiv w:val="1"/>
      <w:marLeft w:val="0"/>
      <w:marRight w:val="0"/>
      <w:marTop w:val="0"/>
      <w:marBottom w:val="0"/>
      <w:divBdr>
        <w:top w:val="none" w:sz="0" w:space="0" w:color="auto"/>
        <w:left w:val="none" w:sz="0" w:space="0" w:color="auto"/>
        <w:bottom w:val="none" w:sz="0" w:space="0" w:color="auto"/>
        <w:right w:val="none" w:sz="0" w:space="0" w:color="auto"/>
      </w:divBdr>
    </w:div>
    <w:div w:id="1178620796">
      <w:bodyDiv w:val="1"/>
      <w:marLeft w:val="0"/>
      <w:marRight w:val="0"/>
      <w:marTop w:val="0"/>
      <w:marBottom w:val="0"/>
      <w:divBdr>
        <w:top w:val="none" w:sz="0" w:space="0" w:color="auto"/>
        <w:left w:val="none" w:sz="0" w:space="0" w:color="auto"/>
        <w:bottom w:val="none" w:sz="0" w:space="0" w:color="auto"/>
        <w:right w:val="none" w:sz="0" w:space="0" w:color="auto"/>
      </w:divBdr>
    </w:div>
    <w:div w:id="1186405522">
      <w:bodyDiv w:val="1"/>
      <w:marLeft w:val="0"/>
      <w:marRight w:val="0"/>
      <w:marTop w:val="0"/>
      <w:marBottom w:val="0"/>
      <w:divBdr>
        <w:top w:val="none" w:sz="0" w:space="0" w:color="auto"/>
        <w:left w:val="none" w:sz="0" w:space="0" w:color="auto"/>
        <w:bottom w:val="none" w:sz="0" w:space="0" w:color="auto"/>
        <w:right w:val="none" w:sz="0" w:space="0" w:color="auto"/>
      </w:divBdr>
    </w:div>
    <w:div w:id="1275215072">
      <w:bodyDiv w:val="1"/>
      <w:marLeft w:val="0"/>
      <w:marRight w:val="0"/>
      <w:marTop w:val="0"/>
      <w:marBottom w:val="0"/>
      <w:divBdr>
        <w:top w:val="none" w:sz="0" w:space="0" w:color="auto"/>
        <w:left w:val="none" w:sz="0" w:space="0" w:color="auto"/>
        <w:bottom w:val="none" w:sz="0" w:space="0" w:color="auto"/>
        <w:right w:val="none" w:sz="0" w:space="0" w:color="auto"/>
      </w:divBdr>
    </w:div>
    <w:div w:id="1333486513">
      <w:bodyDiv w:val="1"/>
      <w:marLeft w:val="0"/>
      <w:marRight w:val="0"/>
      <w:marTop w:val="0"/>
      <w:marBottom w:val="0"/>
      <w:divBdr>
        <w:top w:val="none" w:sz="0" w:space="0" w:color="auto"/>
        <w:left w:val="none" w:sz="0" w:space="0" w:color="auto"/>
        <w:bottom w:val="none" w:sz="0" w:space="0" w:color="auto"/>
        <w:right w:val="none" w:sz="0" w:space="0" w:color="auto"/>
      </w:divBdr>
    </w:div>
    <w:div w:id="1358892120">
      <w:bodyDiv w:val="1"/>
      <w:marLeft w:val="0"/>
      <w:marRight w:val="0"/>
      <w:marTop w:val="0"/>
      <w:marBottom w:val="0"/>
      <w:divBdr>
        <w:top w:val="none" w:sz="0" w:space="0" w:color="auto"/>
        <w:left w:val="none" w:sz="0" w:space="0" w:color="auto"/>
        <w:bottom w:val="none" w:sz="0" w:space="0" w:color="auto"/>
        <w:right w:val="none" w:sz="0" w:space="0" w:color="auto"/>
      </w:divBdr>
    </w:div>
    <w:div w:id="1381396102">
      <w:bodyDiv w:val="1"/>
      <w:marLeft w:val="0"/>
      <w:marRight w:val="0"/>
      <w:marTop w:val="0"/>
      <w:marBottom w:val="0"/>
      <w:divBdr>
        <w:top w:val="none" w:sz="0" w:space="0" w:color="auto"/>
        <w:left w:val="none" w:sz="0" w:space="0" w:color="auto"/>
        <w:bottom w:val="none" w:sz="0" w:space="0" w:color="auto"/>
        <w:right w:val="none" w:sz="0" w:space="0" w:color="auto"/>
      </w:divBdr>
    </w:div>
    <w:div w:id="1420252885">
      <w:bodyDiv w:val="1"/>
      <w:marLeft w:val="0"/>
      <w:marRight w:val="0"/>
      <w:marTop w:val="0"/>
      <w:marBottom w:val="0"/>
      <w:divBdr>
        <w:top w:val="none" w:sz="0" w:space="0" w:color="auto"/>
        <w:left w:val="none" w:sz="0" w:space="0" w:color="auto"/>
        <w:bottom w:val="none" w:sz="0" w:space="0" w:color="auto"/>
        <w:right w:val="none" w:sz="0" w:space="0" w:color="auto"/>
      </w:divBdr>
    </w:div>
    <w:div w:id="1617977772">
      <w:bodyDiv w:val="1"/>
      <w:marLeft w:val="0"/>
      <w:marRight w:val="0"/>
      <w:marTop w:val="0"/>
      <w:marBottom w:val="0"/>
      <w:divBdr>
        <w:top w:val="none" w:sz="0" w:space="0" w:color="auto"/>
        <w:left w:val="none" w:sz="0" w:space="0" w:color="auto"/>
        <w:bottom w:val="none" w:sz="0" w:space="0" w:color="auto"/>
        <w:right w:val="none" w:sz="0" w:space="0" w:color="auto"/>
      </w:divBdr>
    </w:div>
    <w:div w:id="1676492610">
      <w:bodyDiv w:val="1"/>
      <w:marLeft w:val="0"/>
      <w:marRight w:val="0"/>
      <w:marTop w:val="0"/>
      <w:marBottom w:val="0"/>
      <w:divBdr>
        <w:top w:val="none" w:sz="0" w:space="0" w:color="auto"/>
        <w:left w:val="none" w:sz="0" w:space="0" w:color="auto"/>
        <w:bottom w:val="none" w:sz="0" w:space="0" w:color="auto"/>
        <w:right w:val="none" w:sz="0" w:space="0" w:color="auto"/>
      </w:divBdr>
    </w:div>
    <w:div w:id="1676876947">
      <w:bodyDiv w:val="1"/>
      <w:marLeft w:val="0"/>
      <w:marRight w:val="0"/>
      <w:marTop w:val="0"/>
      <w:marBottom w:val="0"/>
      <w:divBdr>
        <w:top w:val="none" w:sz="0" w:space="0" w:color="auto"/>
        <w:left w:val="none" w:sz="0" w:space="0" w:color="auto"/>
        <w:bottom w:val="none" w:sz="0" w:space="0" w:color="auto"/>
        <w:right w:val="none" w:sz="0" w:space="0" w:color="auto"/>
      </w:divBdr>
    </w:div>
    <w:div w:id="1681659898">
      <w:bodyDiv w:val="1"/>
      <w:marLeft w:val="0"/>
      <w:marRight w:val="0"/>
      <w:marTop w:val="0"/>
      <w:marBottom w:val="0"/>
      <w:divBdr>
        <w:top w:val="none" w:sz="0" w:space="0" w:color="auto"/>
        <w:left w:val="none" w:sz="0" w:space="0" w:color="auto"/>
        <w:bottom w:val="none" w:sz="0" w:space="0" w:color="auto"/>
        <w:right w:val="none" w:sz="0" w:space="0" w:color="auto"/>
      </w:divBdr>
    </w:div>
    <w:div w:id="1705207782">
      <w:bodyDiv w:val="1"/>
      <w:marLeft w:val="0"/>
      <w:marRight w:val="0"/>
      <w:marTop w:val="0"/>
      <w:marBottom w:val="0"/>
      <w:divBdr>
        <w:top w:val="none" w:sz="0" w:space="0" w:color="auto"/>
        <w:left w:val="none" w:sz="0" w:space="0" w:color="auto"/>
        <w:bottom w:val="none" w:sz="0" w:space="0" w:color="auto"/>
        <w:right w:val="none" w:sz="0" w:space="0" w:color="auto"/>
      </w:divBdr>
    </w:div>
    <w:div w:id="1722244959">
      <w:bodyDiv w:val="1"/>
      <w:marLeft w:val="0"/>
      <w:marRight w:val="0"/>
      <w:marTop w:val="0"/>
      <w:marBottom w:val="0"/>
      <w:divBdr>
        <w:top w:val="none" w:sz="0" w:space="0" w:color="auto"/>
        <w:left w:val="none" w:sz="0" w:space="0" w:color="auto"/>
        <w:bottom w:val="none" w:sz="0" w:space="0" w:color="auto"/>
        <w:right w:val="none" w:sz="0" w:space="0" w:color="auto"/>
      </w:divBdr>
    </w:div>
    <w:div w:id="1745830783">
      <w:bodyDiv w:val="1"/>
      <w:marLeft w:val="0"/>
      <w:marRight w:val="0"/>
      <w:marTop w:val="0"/>
      <w:marBottom w:val="0"/>
      <w:divBdr>
        <w:top w:val="none" w:sz="0" w:space="0" w:color="auto"/>
        <w:left w:val="none" w:sz="0" w:space="0" w:color="auto"/>
        <w:bottom w:val="none" w:sz="0" w:space="0" w:color="auto"/>
        <w:right w:val="none" w:sz="0" w:space="0" w:color="auto"/>
      </w:divBdr>
    </w:div>
    <w:div w:id="1787236346">
      <w:bodyDiv w:val="1"/>
      <w:marLeft w:val="0"/>
      <w:marRight w:val="0"/>
      <w:marTop w:val="0"/>
      <w:marBottom w:val="0"/>
      <w:divBdr>
        <w:top w:val="none" w:sz="0" w:space="0" w:color="auto"/>
        <w:left w:val="none" w:sz="0" w:space="0" w:color="auto"/>
        <w:bottom w:val="none" w:sz="0" w:space="0" w:color="auto"/>
        <w:right w:val="none" w:sz="0" w:space="0" w:color="auto"/>
      </w:divBdr>
    </w:div>
    <w:div w:id="1790977376">
      <w:bodyDiv w:val="1"/>
      <w:marLeft w:val="0"/>
      <w:marRight w:val="0"/>
      <w:marTop w:val="0"/>
      <w:marBottom w:val="0"/>
      <w:divBdr>
        <w:top w:val="none" w:sz="0" w:space="0" w:color="auto"/>
        <w:left w:val="none" w:sz="0" w:space="0" w:color="auto"/>
        <w:bottom w:val="none" w:sz="0" w:space="0" w:color="auto"/>
        <w:right w:val="none" w:sz="0" w:space="0" w:color="auto"/>
      </w:divBdr>
    </w:div>
    <w:div w:id="1831481202">
      <w:bodyDiv w:val="1"/>
      <w:marLeft w:val="0"/>
      <w:marRight w:val="0"/>
      <w:marTop w:val="0"/>
      <w:marBottom w:val="0"/>
      <w:divBdr>
        <w:top w:val="none" w:sz="0" w:space="0" w:color="auto"/>
        <w:left w:val="none" w:sz="0" w:space="0" w:color="auto"/>
        <w:bottom w:val="none" w:sz="0" w:space="0" w:color="auto"/>
        <w:right w:val="none" w:sz="0" w:space="0" w:color="auto"/>
      </w:divBdr>
    </w:div>
    <w:div w:id="1920210888">
      <w:bodyDiv w:val="1"/>
      <w:marLeft w:val="0"/>
      <w:marRight w:val="0"/>
      <w:marTop w:val="0"/>
      <w:marBottom w:val="0"/>
      <w:divBdr>
        <w:top w:val="none" w:sz="0" w:space="0" w:color="auto"/>
        <w:left w:val="none" w:sz="0" w:space="0" w:color="auto"/>
        <w:bottom w:val="none" w:sz="0" w:space="0" w:color="auto"/>
        <w:right w:val="none" w:sz="0" w:space="0" w:color="auto"/>
      </w:divBdr>
    </w:div>
    <w:div w:id="2023386112">
      <w:bodyDiv w:val="1"/>
      <w:marLeft w:val="0"/>
      <w:marRight w:val="0"/>
      <w:marTop w:val="0"/>
      <w:marBottom w:val="0"/>
      <w:divBdr>
        <w:top w:val="none" w:sz="0" w:space="0" w:color="auto"/>
        <w:left w:val="none" w:sz="0" w:space="0" w:color="auto"/>
        <w:bottom w:val="none" w:sz="0" w:space="0" w:color="auto"/>
        <w:right w:val="none" w:sz="0" w:space="0" w:color="auto"/>
      </w:divBdr>
    </w:div>
    <w:div w:id="2084133825">
      <w:bodyDiv w:val="1"/>
      <w:marLeft w:val="0"/>
      <w:marRight w:val="0"/>
      <w:marTop w:val="0"/>
      <w:marBottom w:val="0"/>
      <w:divBdr>
        <w:top w:val="none" w:sz="0" w:space="0" w:color="auto"/>
        <w:left w:val="none" w:sz="0" w:space="0" w:color="auto"/>
        <w:bottom w:val="none" w:sz="0" w:space="0" w:color="auto"/>
        <w:right w:val="none" w:sz="0" w:space="0" w:color="auto"/>
      </w:divBdr>
    </w:div>
    <w:div w:id="2104908899">
      <w:bodyDiv w:val="1"/>
      <w:marLeft w:val="0"/>
      <w:marRight w:val="0"/>
      <w:marTop w:val="0"/>
      <w:marBottom w:val="0"/>
      <w:divBdr>
        <w:top w:val="none" w:sz="0" w:space="0" w:color="auto"/>
        <w:left w:val="none" w:sz="0" w:space="0" w:color="auto"/>
        <w:bottom w:val="none" w:sz="0" w:space="0" w:color="auto"/>
        <w:right w:val="none" w:sz="0" w:space="0" w:color="auto"/>
      </w:divBdr>
    </w:div>
    <w:div w:id="2118599980">
      <w:bodyDiv w:val="1"/>
      <w:marLeft w:val="0"/>
      <w:marRight w:val="0"/>
      <w:marTop w:val="0"/>
      <w:marBottom w:val="0"/>
      <w:divBdr>
        <w:top w:val="none" w:sz="0" w:space="0" w:color="auto"/>
        <w:left w:val="none" w:sz="0" w:space="0" w:color="auto"/>
        <w:bottom w:val="none" w:sz="0" w:space="0" w:color="auto"/>
        <w:right w:val="none" w:sz="0" w:space="0" w:color="auto"/>
      </w:divBdr>
    </w:div>
    <w:div w:id="2123112477">
      <w:bodyDiv w:val="1"/>
      <w:marLeft w:val="0"/>
      <w:marRight w:val="0"/>
      <w:marTop w:val="0"/>
      <w:marBottom w:val="0"/>
      <w:divBdr>
        <w:top w:val="none" w:sz="0" w:space="0" w:color="auto"/>
        <w:left w:val="none" w:sz="0" w:space="0" w:color="auto"/>
        <w:bottom w:val="none" w:sz="0" w:space="0" w:color="auto"/>
        <w:right w:val="none" w:sz="0" w:space="0" w:color="auto"/>
      </w:divBdr>
    </w:div>
    <w:div w:id="2133476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nam10.safelinks.protection.outlook.com/ap/t-59584e83/?url=https%3A%2F%2Fteams.microsoft.com%2Fl%2Fmeetup-join%2F19%253ameeting_YTEzNDQ5ZWItN2Y4NC00YTEzLWIzMzYtZGUxYTE1MTdmM2Jl%2540thread.v2%2F0%3Fcontext%3D%257b%2522Tid%2522%253a%2522ce6a0196-6152-4c6a-9d1d-e946c3735743%2522%252c%2522Oid%2522%253a%2522735b9ace-1d22-4a7e-963c-194077a26ea8%2522%257d&amp;data=04%7C01%7CMonica.Cowlishaw%40cngc.com%7C19bd23d6221c42e0f39508d8b28486d3%7Cce6a019661524c6a9d1de946c3735743%7C0%7C0%7C637455629563953836%7CUnknown%7CTWFpbGZsb3d8eyJWIjoiMC4wLjAwMDAiLCJQIjoiV2luMzIiLCJBTiI6Ik1haWwiLCJXVCI6Mn0%3D%7C1000&amp;sdata=XKh6Ud75yIE6UNOLW%2Bgrgq7oFMlqEjDaITCSCZDQLGE%3D&amp;reserved=0" TargetMode="External"/><Relationship Id="rId13" Type="http://schemas.openxmlformats.org/officeDocument/2006/relationships/image" Target="media/image1.emf"/><Relationship Id="rId18" Type="http://schemas.openxmlformats.org/officeDocument/2006/relationships/chart" Target="charts/chart4.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s://nam10.safelinks.protection.outlook.com/?url=https%3A%2F%2Fwww.cngc.com%2Fenergy-efficiency%2Fcascade-natural-gas-conservation-advisory-group-meetings%2F&amp;data=04%7C01%7CMonica.Cowlishaw%40cngc.com%7Cc86caa38fca947dc942c08d8d85992e0%7Cce6a019661524c6a9d1de946c3735743%7C0%7C0%7C637497226510284715%7CUnknown%7CTWFpbGZsb3d8eyJWIjoiMC4wLjAwMDAiLCJQIjoiV2luMzIiLCJBTiI6Ik1haWwiLCJXVCI6Mn0%3D%7C1000&amp;sdata=jM0xTLAGG7Dy8e8oX2ATkY4ns28DUuTxsoNJLl8EryM%3D&amp;reserved=0" TargetMode="External"/><Relationship Id="rId17" Type="http://schemas.openxmlformats.org/officeDocument/2006/relationships/chart" Target="charts/chart3.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nam10.safelinks.protection.outlook.com/?url=https%3A%2F%2Fmysettings.lync.com%2Fpstnconferencing&amp;data=04%7C01%7CMonica.Cowlishaw%40cngc.com%7C19bd23d6221c42e0f39508d8b28486d3%7Cce6a019661524c6a9d1de946c3735743%7C0%7C0%7C637455629563963826%7CUnknown%7CTWFpbGZsb3d8eyJWIjoiMC4wLjAwMDAiLCJQIjoiV2luMzIiLCJBTiI6Ik1haWwiLCJXVCI6Mn0%3D%7C1000&amp;sdata=0e71sOEi3plMmfpKVTSk559N9mQz8M%2B%2FbhYbgcVs%2FfE%3D&amp;reserved=0" TargetMode="Externa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theme" Target="theme/theme1.xml"/><Relationship Id="rId10" Type="http://schemas.openxmlformats.org/officeDocument/2006/relationships/hyperlink" Target="https://nam10.safelinks.protection.outlook.com/?url=https%3A%2F%2Fdialin.teams.microsoft.com%2F9a596e6b-e816-4ddb-8ea5-001418b0eef6%3Fid%3D240435873&amp;data=04%7C01%7CMonica.Cowlishaw%40cngc.com%7C19bd23d6221c42e0f39508d8b28486d3%7Cce6a019661524c6a9d1de946c3735743%7C0%7C0%7C637455629563953836%7CUnknown%7CTWFpbGZsb3d8eyJWIjoiMC4wLjAwMDAiLCJQIjoiV2luMzIiLCJBTiI6Ik1haWwiLCJXVCI6Mn0%3D%7C1000&amp;sdata=YvcYahdIZHHwtSR%2F7AjE4FQm7ptC0xoX6M6VmzfRAfg%3D&amp;reserved=0" TargetMode="External"/><Relationship Id="rId19" Type="http://schemas.openxmlformats.org/officeDocument/2006/relationships/chart" Target="charts/chart5.xml"/><Relationship Id="rId4" Type="http://schemas.openxmlformats.org/officeDocument/2006/relationships/settings" Target="settings.xml"/><Relationship Id="rId9" Type="http://schemas.openxmlformats.org/officeDocument/2006/relationships/hyperlink" Target="tel:+15095050479,,240435873" TargetMode="External"/><Relationship Id="rId14" Type="http://schemas.openxmlformats.org/officeDocument/2006/relationships/package" Target="embeddings/Microsoft_PowerPoint_Presentation.pptx"/><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EMPLOYEES.ROOT.local\PW\EFF\PortlandOR\network_hd\CNGC\Mo.%20Report\2021\03%20-%20March\March%202021%20CNG%20Excel%20Monthly%20Report.xlsm"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MPLOYEES.ROOT.local\PW\EFF\PortlandOR\network_hd\CNGC\Mo.%20Report\2021\03%20-%20March\March%202021%20CNG%20Excel%20Monthly%20Report.xlsm"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MPLOYEES.ROOT.local\PW\EFF\PortlandOR\network_hd\CNGC\Mo.%20Report\2021\03%20-%20March\March%202021%20CNG%20Excel%20Monthly%20Report.xlsm"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012183178595218E-2"/>
          <c:y val="7.5060305763094817E-2"/>
          <c:w val="0.81797563364280956"/>
          <c:h val="0.70973782929648488"/>
        </c:manualLayout>
      </c:layout>
      <c:lineChart>
        <c:grouping val="standard"/>
        <c:varyColors val="0"/>
        <c:ser>
          <c:idx val="0"/>
          <c:order val="0"/>
          <c:tx>
            <c:strRef>
              <c:f>Assumptions!$Z$1</c:f>
              <c:strCache>
                <c:ptCount val="1"/>
                <c:pt idx="0">
                  <c:v>2021</c:v>
                </c:pt>
              </c:strCache>
            </c:strRef>
          </c:tx>
          <c:spPr>
            <a:ln w="28575" cap="rnd">
              <a:solidFill>
                <a:srgbClr val="008C99"/>
              </a:solidFill>
              <a:round/>
            </a:ln>
            <a:effectLst/>
          </c:spPr>
          <c:marker>
            <c:symbol val="none"/>
          </c:marker>
          <c:cat>
            <c:strRef>
              <c:f>Assumptions!$V$2:$V$13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[0]!CurrentYearGraphData</c:f>
              <c:numCache>
                <c:formatCode>#,##0</c:formatCode>
                <c:ptCount val="3"/>
                <c:pt idx="0">
                  <c:v>10849.409999999996</c:v>
                </c:pt>
                <c:pt idx="1">
                  <c:v>21465.85</c:v>
                </c:pt>
                <c:pt idx="2">
                  <c:v>48162.039999999994</c:v>
                </c:pt>
              </c:numCache>
            </c:numRef>
          </c:val>
          <c:smooth val="0"/>
          <c:extLst>
            <c:ext xmlns:c16="http://schemas.microsoft.com/office/drawing/2014/chart" uri="{C3380CC4-5D6E-409C-BE32-E72D297353CC}">
              <c16:uniqueId val="{00000000-F071-4D37-A392-58B9E8F137D8}"/>
            </c:ext>
          </c:extLst>
        </c:ser>
        <c:ser>
          <c:idx val="2"/>
          <c:order val="2"/>
          <c:tx>
            <c:v>Trendline to Goal</c:v>
          </c:tx>
          <c:spPr>
            <a:ln w="12700" cap="rnd">
              <a:solidFill>
                <a:schemeClr val="accent6">
                  <a:lumMod val="60000"/>
                  <a:lumOff val="40000"/>
                </a:schemeClr>
              </a:solidFill>
              <a:prstDash val="dash"/>
              <a:round/>
            </a:ln>
            <a:effectLst/>
          </c:spPr>
          <c:marker>
            <c:symbol val="none"/>
          </c:marker>
          <c:cat>
            <c:strRef>
              <c:f>Assumptions!$V$2:$V$13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Assumptions!$AH$2:$AH$13</c:f>
              <c:numCache>
                <c:formatCode>#,##0</c:formatCode>
                <c:ptCount val="12"/>
                <c:pt idx="0">
                  <c:v>10849.409999999996</c:v>
                </c:pt>
                <c:pt idx="1">
                  <c:v>21465.85</c:v>
                </c:pt>
                <c:pt idx="2">
                  <c:v>48162.039999999994</c:v>
                </c:pt>
                <c:pt idx="3">
                  <c:v>68927.039999999994</c:v>
                </c:pt>
                <c:pt idx="4">
                  <c:v>88888.222999999998</c:v>
                </c:pt>
                <c:pt idx="5">
                  <c:v>306414.94199999998</c:v>
                </c:pt>
                <c:pt idx="6">
                  <c:v>347579.842</c:v>
                </c:pt>
                <c:pt idx="7">
                  <c:v>357695.65100000001</c:v>
                </c:pt>
                <c:pt idx="8">
                  <c:v>375522.80100000004</c:v>
                </c:pt>
                <c:pt idx="9">
                  <c:v>393760.15100000001</c:v>
                </c:pt>
                <c:pt idx="10">
                  <c:v>509463.141</c:v>
                </c:pt>
                <c:pt idx="11">
                  <c:v>516618.74099999998</c:v>
                </c:pt>
              </c:numCache>
            </c:numRef>
          </c:val>
          <c:smooth val="0"/>
          <c:extLst>
            <c:ext xmlns:c16="http://schemas.microsoft.com/office/drawing/2014/chart" uri="{C3380CC4-5D6E-409C-BE32-E72D297353CC}">
              <c16:uniqueId val="{00000001-F071-4D37-A392-58B9E8F137D8}"/>
            </c:ext>
          </c:extLst>
        </c:ser>
        <c:dLbls>
          <c:showLegendKey val="0"/>
          <c:showVal val="0"/>
          <c:showCatName val="0"/>
          <c:showSerName val="0"/>
          <c:showPercent val="0"/>
          <c:showBubbleSize val="0"/>
        </c:dLbls>
        <c:marker val="1"/>
        <c:smooth val="0"/>
        <c:axId val="291657536"/>
        <c:axId val="555331016"/>
      </c:lineChart>
      <c:lineChart>
        <c:grouping val="standard"/>
        <c:varyColors val="0"/>
        <c:ser>
          <c:idx val="1"/>
          <c:order val="1"/>
          <c:tx>
            <c:strRef>
              <c:f>Assumptions!$T$1</c:f>
              <c:strCache>
                <c:ptCount val="1"/>
                <c:pt idx="0">
                  <c:v>2020</c:v>
                </c:pt>
              </c:strCache>
            </c:strRef>
          </c:tx>
          <c:spPr>
            <a:ln w="28575" cap="rnd">
              <a:solidFill>
                <a:schemeClr val="bg2">
                  <a:lumMod val="75000"/>
                </a:schemeClr>
              </a:solidFill>
              <a:round/>
            </a:ln>
            <a:effectLst/>
          </c:spPr>
          <c:marker>
            <c:symbol val="none"/>
          </c:marker>
          <c:cat>
            <c:strRef>
              <c:f>Assumptions!$V$2:$V$13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Assumptions!$W$2:$W$13</c:f>
              <c:numCache>
                <c:formatCode>#,##0</c:formatCode>
                <c:ptCount val="12"/>
                <c:pt idx="0">
                  <c:v>27381.040000000001</c:v>
                </c:pt>
                <c:pt idx="1">
                  <c:v>57026.33</c:v>
                </c:pt>
                <c:pt idx="2">
                  <c:v>70733.930000000008</c:v>
                </c:pt>
                <c:pt idx="3">
                  <c:v>97679.44</c:v>
                </c:pt>
                <c:pt idx="4">
                  <c:v>116545.14</c:v>
                </c:pt>
                <c:pt idx="5">
                  <c:v>121903.85</c:v>
                </c:pt>
                <c:pt idx="6">
                  <c:v>155633.35</c:v>
                </c:pt>
                <c:pt idx="7">
                  <c:v>184051.55</c:v>
                </c:pt>
                <c:pt idx="8">
                  <c:v>210485.12999999998</c:v>
                </c:pt>
                <c:pt idx="9">
                  <c:v>237478.74</c:v>
                </c:pt>
                <c:pt idx="10">
                  <c:v>241863.02</c:v>
                </c:pt>
                <c:pt idx="11">
                  <c:v>266944.81</c:v>
                </c:pt>
              </c:numCache>
            </c:numRef>
          </c:val>
          <c:smooth val="0"/>
          <c:extLst>
            <c:ext xmlns:c16="http://schemas.microsoft.com/office/drawing/2014/chart" uri="{C3380CC4-5D6E-409C-BE32-E72D297353CC}">
              <c16:uniqueId val="{00000002-F071-4D37-A392-58B9E8F137D8}"/>
            </c:ext>
          </c:extLst>
        </c:ser>
        <c:ser>
          <c:idx val="3"/>
          <c:order val="3"/>
          <c:tx>
            <c:v>CNG 2021 Target</c:v>
          </c:tx>
          <c:spPr>
            <a:ln w="28575" cap="rnd">
              <a:solidFill>
                <a:srgbClr val="9FD1DE"/>
              </a:solidFill>
              <a:round/>
            </a:ln>
            <a:effectLst/>
          </c:spPr>
          <c:marker>
            <c:symbol val="none"/>
          </c:marker>
          <c:val>
            <c:numRef>
              <c:f>Assumptions!$AI$2:$AI$13</c:f>
              <c:numCache>
                <c:formatCode>#,##0</c:formatCode>
                <c:ptCount val="12"/>
                <c:pt idx="0">
                  <c:v>27320</c:v>
                </c:pt>
                <c:pt idx="1">
                  <c:v>64088</c:v>
                </c:pt>
                <c:pt idx="2">
                  <c:v>242571</c:v>
                </c:pt>
                <c:pt idx="3">
                  <c:v>279012</c:v>
                </c:pt>
                <c:pt idx="4">
                  <c:v>313529</c:v>
                </c:pt>
                <c:pt idx="5">
                  <c:v>354563</c:v>
                </c:pt>
                <c:pt idx="6">
                  <c:v>393004</c:v>
                </c:pt>
                <c:pt idx="7">
                  <c:v>430521</c:v>
                </c:pt>
                <c:pt idx="8">
                  <c:v>474506</c:v>
                </c:pt>
                <c:pt idx="9">
                  <c:v>503495</c:v>
                </c:pt>
                <c:pt idx="10">
                  <c:v>536018</c:v>
                </c:pt>
                <c:pt idx="11">
                  <c:v>578483</c:v>
                </c:pt>
              </c:numCache>
            </c:numRef>
          </c:val>
          <c:smooth val="0"/>
          <c:extLst>
            <c:ext xmlns:c16="http://schemas.microsoft.com/office/drawing/2014/chart" uri="{C3380CC4-5D6E-409C-BE32-E72D297353CC}">
              <c16:uniqueId val="{00000003-F071-4D37-A392-58B9E8F137D8}"/>
            </c:ext>
          </c:extLst>
        </c:ser>
        <c:dLbls>
          <c:showLegendKey val="0"/>
          <c:showVal val="0"/>
          <c:showCatName val="0"/>
          <c:showSerName val="0"/>
          <c:showPercent val="0"/>
          <c:showBubbleSize val="0"/>
        </c:dLbls>
        <c:marker val="1"/>
        <c:smooth val="0"/>
        <c:axId val="617504472"/>
        <c:axId val="617504080"/>
      </c:lineChart>
      <c:dateAx>
        <c:axId val="291657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venir Book"/>
                <a:ea typeface="+mn-ea"/>
                <a:cs typeface="+mn-cs"/>
              </a:defRPr>
            </a:pPr>
            <a:endParaRPr lang="en-US"/>
          </a:p>
        </c:txPr>
        <c:crossAx val="555331016"/>
        <c:crosses val="autoZero"/>
        <c:auto val="0"/>
        <c:lblOffset val="100"/>
        <c:baseTimeUnit val="days"/>
      </c:dateAx>
      <c:valAx>
        <c:axId val="555331016"/>
        <c:scaling>
          <c:orientation val="minMax"/>
          <c:max val="60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venir Book"/>
                <a:ea typeface="+mn-ea"/>
                <a:cs typeface="+mn-cs"/>
              </a:defRPr>
            </a:pPr>
            <a:endParaRPr lang="en-US"/>
          </a:p>
        </c:txPr>
        <c:crossAx val="291657536"/>
        <c:crosses val="autoZero"/>
        <c:crossBetween val="between"/>
      </c:valAx>
      <c:valAx>
        <c:axId val="617504080"/>
        <c:scaling>
          <c:orientation val="minMax"/>
          <c:max val="600000"/>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venir Book"/>
                <a:ea typeface="+mn-ea"/>
                <a:cs typeface="+mn-cs"/>
              </a:defRPr>
            </a:pPr>
            <a:endParaRPr lang="en-US"/>
          </a:p>
        </c:txPr>
        <c:crossAx val="617504472"/>
        <c:crosses val="max"/>
        <c:crossBetween val="between"/>
      </c:valAx>
      <c:dateAx>
        <c:axId val="617504472"/>
        <c:scaling>
          <c:orientation val="minMax"/>
        </c:scaling>
        <c:delete val="1"/>
        <c:axPos val="b"/>
        <c:numFmt formatCode="General" sourceLinked="1"/>
        <c:majorTickMark val="out"/>
        <c:minorTickMark val="none"/>
        <c:tickLblPos val="nextTo"/>
        <c:crossAx val="617504080"/>
        <c:crosses val="autoZero"/>
        <c:auto val="0"/>
        <c:lblOffset val="100"/>
        <c:baseTimeUnit val="days"/>
      </c:date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venir Book"/>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5.4118615607831627E-2"/>
          <c:y val="0.12783056993494243"/>
          <c:w val="0.85478407590355554"/>
          <c:h val="0.75648394537664387"/>
        </c:manualLayout>
      </c:layout>
      <c:barChart>
        <c:barDir val="bar"/>
        <c:grouping val="percentStacked"/>
        <c:varyColors val="0"/>
        <c:ser>
          <c:idx val="0"/>
          <c:order val="0"/>
          <c:tx>
            <c:v>Pre-Pipeline</c:v>
          </c:tx>
          <c:spPr>
            <a:solidFill>
              <a:schemeClr val="accent1">
                <a:tint val="58000"/>
              </a:schemeClr>
            </a:solidFill>
            <a:ln>
              <a:noFill/>
            </a:ln>
            <a:effectLst/>
          </c:spPr>
          <c:invertIfNegative val="0"/>
          <c:dLbls>
            <c:dLbl>
              <c:idx val="0"/>
              <c:layout>
                <c:manualLayout>
                  <c:x val="-2.6915113871635688E-2"/>
                  <c:y val="0.295082062437737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DC-4E87-993F-68B01F1872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venir Book"/>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Forecast!$P$10</c:f>
              <c:numCache>
                <c:formatCode>#,##0</c:formatCode>
                <c:ptCount val="1"/>
                <c:pt idx="0">
                  <c:v>249631.5</c:v>
                </c:pt>
              </c:numCache>
            </c:numRef>
          </c:val>
          <c:extLst>
            <c:ext xmlns:c16="http://schemas.microsoft.com/office/drawing/2014/chart" uri="{C3380CC4-5D6E-409C-BE32-E72D297353CC}">
              <c16:uniqueId val="{00000001-65DC-4E87-993F-68B01F1872BD}"/>
            </c:ext>
          </c:extLst>
        </c:ser>
        <c:ser>
          <c:idx val="1"/>
          <c:order val="1"/>
          <c:tx>
            <c:v>Therms Achieved</c:v>
          </c:tx>
          <c:spPr>
            <a:solidFill>
              <a:srgbClr val="008C99"/>
            </a:solidFill>
            <a:ln>
              <a:noFill/>
            </a:ln>
            <a:effectLst/>
          </c:spPr>
          <c:invertIfNegative val="0"/>
          <c:dLbls>
            <c:dLbl>
              <c:idx val="0"/>
              <c:layout>
                <c:manualLayout>
                  <c:x val="-1.6563146997929608E-2"/>
                  <c:y val="0.282786976502832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5DC-4E87-993F-68B01F1872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venir Book"/>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'Program Total &amp; Comparison'!$H$6</c:f>
              <c:numCache>
                <c:formatCode>#,##0</c:formatCode>
                <c:ptCount val="1"/>
                <c:pt idx="0">
                  <c:v>48162.039999999994</c:v>
                </c:pt>
              </c:numCache>
            </c:numRef>
          </c:val>
          <c:extLst>
            <c:ext xmlns:c16="http://schemas.microsoft.com/office/drawing/2014/chart" uri="{C3380CC4-5D6E-409C-BE32-E72D297353CC}">
              <c16:uniqueId val="{00000003-65DC-4E87-993F-68B01F1872BD}"/>
            </c:ext>
          </c:extLst>
        </c:ser>
        <c:ser>
          <c:idx val="2"/>
          <c:order val="2"/>
          <c:tx>
            <c:v>Therms Forecasted</c:v>
          </c:tx>
          <c:spPr>
            <a:solidFill>
              <a:srgbClr val="B7F8FF"/>
            </a:solidFill>
            <a:ln>
              <a:noFill/>
            </a:ln>
            <a:effectLst/>
          </c:spPr>
          <c:invertIfNegative val="0"/>
          <c:dLbls>
            <c:dLbl>
              <c:idx val="0"/>
              <c:layout>
                <c:manualLayout>
                  <c:x val="-4.1407867494825537E-3"/>
                  <c:y val="0.264344347600473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5DC-4E87-993F-68B01F1872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venir Book"/>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Forecast!Forecast</c:f>
              <c:numCache>
                <c:formatCode>#,##0</c:formatCode>
                <c:ptCount val="1"/>
                <c:pt idx="0">
                  <c:v>218825.201</c:v>
                </c:pt>
              </c:numCache>
            </c:numRef>
          </c:val>
          <c:extLst>
            <c:ext xmlns:c16="http://schemas.microsoft.com/office/drawing/2014/chart" uri="{C3380CC4-5D6E-409C-BE32-E72D297353CC}">
              <c16:uniqueId val="{00000005-65DC-4E87-993F-68B01F1872BD}"/>
            </c:ext>
          </c:extLst>
        </c:ser>
        <c:ser>
          <c:idx val="3"/>
          <c:order val="3"/>
          <c:tx>
            <c:v>Remaining to Goal</c:v>
          </c:tx>
          <c:spPr>
            <a:solidFill>
              <a:srgbClr val="9FD1DE"/>
            </a:solidFill>
            <a:ln>
              <a:noFill/>
            </a:ln>
            <a:effectLst/>
          </c:spPr>
          <c:invertIfNegative val="0"/>
          <c:dLbls>
            <c:dLbl>
              <c:idx val="0"/>
              <c:layout>
                <c:manualLayout>
                  <c:x val="4.140786749482402E-3"/>
                  <c:y val="0.258196804633020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5DC-4E87-993F-68B01F1872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venir Book"/>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'Program Total &amp; Comparison'!$J$7</c:f>
              <c:numCache>
                <c:formatCode>#,##0</c:formatCode>
                <c:ptCount val="1"/>
                <c:pt idx="0">
                  <c:v>61864.25900000002</c:v>
                </c:pt>
              </c:numCache>
            </c:numRef>
          </c:val>
          <c:extLst>
            <c:ext xmlns:c16="http://schemas.microsoft.com/office/drawing/2014/chart" uri="{C3380CC4-5D6E-409C-BE32-E72D297353CC}">
              <c16:uniqueId val="{00000007-65DC-4E87-993F-68B01F1872BD}"/>
            </c:ext>
          </c:extLst>
        </c:ser>
        <c:dLbls>
          <c:showLegendKey val="0"/>
          <c:showVal val="0"/>
          <c:showCatName val="0"/>
          <c:showSerName val="0"/>
          <c:showPercent val="0"/>
          <c:showBubbleSize val="0"/>
        </c:dLbls>
        <c:gapWidth val="182"/>
        <c:overlap val="100"/>
        <c:axId val="617505256"/>
        <c:axId val="617505648"/>
      </c:barChart>
      <c:catAx>
        <c:axId val="617505256"/>
        <c:scaling>
          <c:orientation val="minMax"/>
        </c:scaling>
        <c:delete val="1"/>
        <c:axPos val="l"/>
        <c:numFmt formatCode="General" sourceLinked="1"/>
        <c:majorTickMark val="none"/>
        <c:minorTickMark val="none"/>
        <c:tickLblPos val="nextTo"/>
        <c:crossAx val="617505648"/>
        <c:crosses val="autoZero"/>
        <c:auto val="1"/>
        <c:lblAlgn val="ctr"/>
        <c:lblOffset val="100"/>
        <c:noMultiLvlLbl val="0"/>
      </c:catAx>
      <c:valAx>
        <c:axId val="617505648"/>
        <c:scaling>
          <c:orientation val="minMax"/>
        </c:scaling>
        <c:delete val="1"/>
        <c:axPos val="b"/>
        <c:majorGridlines>
          <c:spPr>
            <a:ln w="9525" cap="flat" cmpd="sng" algn="ctr">
              <a:noFill/>
              <a:round/>
            </a:ln>
            <a:effectLst/>
          </c:spPr>
        </c:majorGridlines>
        <c:numFmt formatCode="0%" sourceLinked="1"/>
        <c:majorTickMark val="none"/>
        <c:minorTickMark val="none"/>
        <c:tickLblPos val="nextTo"/>
        <c:crossAx val="617505256"/>
        <c:crosses val="autoZero"/>
        <c:crossBetween val="between"/>
      </c:valAx>
      <c:spPr>
        <a:noFill/>
        <a:ln>
          <a:noFill/>
        </a:ln>
        <a:effectLst/>
      </c:spPr>
    </c:plotArea>
    <c:legend>
      <c:legendPos val="t"/>
      <c:layout>
        <c:manualLayout>
          <c:xMode val="edge"/>
          <c:yMode val="edge"/>
          <c:x val="0.12019289379872292"/>
          <c:y val="5.2462559827080438E-2"/>
          <c:w val="0.78554879147569256"/>
          <c:h val="0.3642603498092149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venir Book"/>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3"/>
          <c:order val="0"/>
          <c:tx>
            <c:strRef>
              <c:f>'Therms by Measure Type'!$D$21</c:f>
              <c:strCache>
                <c:ptCount val="1"/>
                <c:pt idx="0">
                  <c:v>Therms</c:v>
                </c:pt>
              </c:strCache>
            </c:strRef>
          </c:tx>
          <c:spPr>
            <a:solidFill>
              <a:srgbClr val="008C99"/>
            </a:solidFill>
            <a:ln>
              <a:solidFill>
                <a:srgbClr val="9FD1DE"/>
              </a:solidFill>
            </a:ln>
            <a:effectLst/>
          </c:spPr>
          <c:invertIfNegative val="0"/>
          <c:cat>
            <c:strRef>
              <c:f>'Therms by Measure Type'!$C$22:$C$56</c:f>
              <c:strCache>
                <c:ptCount val="10"/>
                <c:pt idx="0">
                  <c:v>Boilers</c:v>
                </c:pt>
                <c:pt idx="1">
                  <c:v>Custom Other</c:v>
                </c:pt>
                <c:pt idx="2">
                  <c:v>Water Heaters</c:v>
                </c:pt>
                <c:pt idx="3">
                  <c:v>Fryers</c:v>
                </c:pt>
                <c:pt idx="4">
                  <c:v>HVAC</c:v>
                </c:pt>
                <c:pt idx="5">
                  <c:v>Insulation</c:v>
                </c:pt>
                <c:pt idx="6">
                  <c:v>Dishwashers</c:v>
                </c:pt>
                <c:pt idx="7">
                  <c:v>Radiant Heaters</c:v>
                </c:pt>
                <c:pt idx="8">
                  <c:v>Furnaces</c:v>
                </c:pt>
                <c:pt idx="9">
                  <c:v>Windows</c:v>
                </c:pt>
              </c:strCache>
              <c:extLst/>
            </c:strRef>
          </c:cat>
          <c:val>
            <c:numRef>
              <c:f>'Therms by Measure Type'!$D$22:$D$56</c:f>
              <c:numCache>
                <c:formatCode>#,##0</c:formatCode>
                <c:ptCount val="10"/>
                <c:pt idx="0">
                  <c:v>20100</c:v>
                </c:pt>
                <c:pt idx="1">
                  <c:v>625</c:v>
                </c:pt>
                <c:pt idx="2">
                  <c:v>2269.1000000000004</c:v>
                </c:pt>
                <c:pt idx="3">
                  <c:v>6850</c:v>
                </c:pt>
                <c:pt idx="4">
                  <c:v>121</c:v>
                </c:pt>
                <c:pt idx="5">
                  <c:v>8777.74</c:v>
                </c:pt>
                <c:pt idx="6">
                  <c:v>448</c:v>
                </c:pt>
                <c:pt idx="7">
                  <c:v>7101.2</c:v>
                </c:pt>
                <c:pt idx="8">
                  <c:v>1254</c:v>
                </c:pt>
                <c:pt idx="9">
                  <c:v>616</c:v>
                </c:pt>
              </c:numCache>
              <c:extLst/>
            </c:numRef>
          </c:val>
          <c:extLst>
            <c:ext xmlns:c16="http://schemas.microsoft.com/office/drawing/2014/chart" uri="{C3380CC4-5D6E-409C-BE32-E72D297353CC}">
              <c16:uniqueId val="{00000000-1495-4748-8CEB-5AFBECEE1348}"/>
            </c:ext>
          </c:extLst>
        </c:ser>
        <c:dLbls>
          <c:showLegendKey val="0"/>
          <c:showVal val="0"/>
          <c:showCatName val="0"/>
          <c:showSerName val="0"/>
          <c:showPercent val="0"/>
          <c:showBubbleSize val="0"/>
        </c:dLbls>
        <c:gapWidth val="182"/>
        <c:axId val="554593088"/>
        <c:axId val="554593480"/>
        <c:extLst>
          <c:ext xmlns:c15="http://schemas.microsoft.com/office/drawing/2012/chart" uri="{02D57815-91ED-43cb-92C2-25804820EDAC}">
            <c15:filteredBarSeries>
              <c15:ser>
                <c:idx val="4"/>
                <c:order val="1"/>
                <c:tx>
                  <c:strRef>
                    <c:extLst>
                      <c:ext uri="{02D57815-91ED-43cb-92C2-25804820EDAC}">
                        <c15:formulaRef>
                          <c15:sqref>'Therms by Measure Type'!$E$21</c15:sqref>
                        </c15:formulaRef>
                      </c:ext>
                    </c:extLst>
                    <c:strCache>
                      <c:ptCount val="1"/>
                      <c:pt idx="0">
                        <c:v>Incentive</c:v>
                      </c:pt>
                    </c:strCache>
                  </c:strRef>
                </c:tx>
                <c:spPr>
                  <a:solidFill>
                    <a:schemeClr val="accent5"/>
                  </a:solidFill>
                  <a:ln>
                    <a:noFill/>
                  </a:ln>
                  <a:effectLst/>
                </c:spPr>
                <c:invertIfNegative val="0"/>
                <c:cat>
                  <c:strRef>
                    <c:extLst>
                      <c:ext uri="{02D57815-91ED-43cb-92C2-25804820EDAC}">
                        <c15:formulaRef>
                          <c15:sqref>'Therms by Measure Type'!$C$22:$C$56</c15:sqref>
                        </c15:formulaRef>
                      </c:ext>
                    </c:extLst>
                    <c:strCache>
                      <c:ptCount val="10"/>
                      <c:pt idx="0">
                        <c:v>Boilers</c:v>
                      </c:pt>
                      <c:pt idx="1">
                        <c:v>Custom Other</c:v>
                      </c:pt>
                      <c:pt idx="2">
                        <c:v>Water Heaters</c:v>
                      </c:pt>
                      <c:pt idx="3">
                        <c:v>Fryers</c:v>
                      </c:pt>
                      <c:pt idx="4">
                        <c:v>HVAC</c:v>
                      </c:pt>
                      <c:pt idx="5">
                        <c:v>Insulation</c:v>
                      </c:pt>
                      <c:pt idx="6">
                        <c:v>Dishwashers</c:v>
                      </c:pt>
                      <c:pt idx="7">
                        <c:v>Radiant Heaters</c:v>
                      </c:pt>
                      <c:pt idx="8">
                        <c:v>Furnaces</c:v>
                      </c:pt>
                      <c:pt idx="9">
                        <c:v>Windows</c:v>
                      </c:pt>
                    </c:strCache>
                  </c:strRef>
                </c:cat>
                <c:val>
                  <c:numRef>
                    <c:extLst>
                      <c:ext uri="{02D57815-91ED-43cb-92C2-25804820EDAC}">
                        <c15:formulaRef>
                          <c15:sqref>'Therms by Measure Type'!$E$22:$E$56</c15:sqref>
                        </c15:formulaRef>
                      </c:ext>
                    </c:extLst>
                    <c:numCache>
                      <c:formatCode>"$"#,##0_);[Red]\("$"#,##0\)</c:formatCode>
                      <c:ptCount val="10"/>
                      <c:pt idx="0">
                        <c:v>80400</c:v>
                      </c:pt>
                      <c:pt idx="1">
                        <c:v>3230</c:v>
                      </c:pt>
                      <c:pt idx="2">
                        <c:v>7939.25</c:v>
                      </c:pt>
                      <c:pt idx="3">
                        <c:v>7500</c:v>
                      </c:pt>
                      <c:pt idx="4">
                        <c:v>550</c:v>
                      </c:pt>
                      <c:pt idx="5">
                        <c:v>57613.359999999993</c:v>
                      </c:pt>
                      <c:pt idx="6">
                        <c:v>800</c:v>
                      </c:pt>
                      <c:pt idx="7">
                        <c:v>22944.010000000002</c:v>
                      </c:pt>
                      <c:pt idx="8">
                        <c:v>5700</c:v>
                      </c:pt>
                      <c:pt idx="9">
                        <c:v>2800</c:v>
                      </c:pt>
                    </c:numCache>
                  </c:numRef>
                </c:val>
                <c:extLst>
                  <c:ext xmlns:c16="http://schemas.microsoft.com/office/drawing/2014/chart" uri="{C3380CC4-5D6E-409C-BE32-E72D297353CC}">
                    <c16:uniqueId val="{00000001-1495-4748-8CEB-5AFBECEE1348}"/>
                  </c:ext>
                </c:extLst>
              </c15:ser>
            </c15:filteredBarSeries>
          </c:ext>
        </c:extLst>
      </c:barChart>
      <c:catAx>
        <c:axId val="5545930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venir Book"/>
                <a:ea typeface="+mn-ea"/>
                <a:cs typeface="+mn-cs"/>
              </a:defRPr>
            </a:pPr>
            <a:endParaRPr lang="en-US"/>
          </a:p>
        </c:txPr>
        <c:crossAx val="554593480"/>
        <c:crosses val="autoZero"/>
        <c:auto val="1"/>
        <c:lblAlgn val="ctr"/>
        <c:lblOffset val="100"/>
        <c:tickLblSkip val="1"/>
        <c:noMultiLvlLbl val="0"/>
      </c:catAx>
      <c:valAx>
        <c:axId val="554593480"/>
        <c:scaling>
          <c:orientation val="minMax"/>
          <c:max val="21000"/>
          <c:min val="0"/>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venir Book"/>
                <a:ea typeface="+mn-ea"/>
                <a:cs typeface="+mn-cs"/>
              </a:defRPr>
            </a:pPr>
            <a:endParaRPr lang="en-US"/>
          </a:p>
        </c:txPr>
        <c:crossAx val="554593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767353938050263E-2"/>
          <c:y val="0.1186533619575056"/>
          <c:w val="0.93423268288309824"/>
          <c:h val="0.75386342429245135"/>
        </c:manualLayout>
      </c:layout>
      <c:lineChart>
        <c:grouping val="standard"/>
        <c:varyColors val="0"/>
        <c:ser>
          <c:idx val="5"/>
          <c:order val="5"/>
          <c:tx>
            <c:strRef>
              <c:f>'WUTC-Monthly2021'!$Q$2</c:f>
              <c:strCache>
                <c:ptCount val="1"/>
                <c:pt idx="0">
                  <c:v>3- YR Running </c:v>
                </c:pt>
              </c:strCache>
            </c:strRef>
          </c:tx>
          <c:spPr>
            <a:ln w="28575" cap="rnd">
              <a:solidFill>
                <a:schemeClr val="accent1">
                  <a:lumMod val="60000"/>
                  <a:lumOff val="40000"/>
                </a:schemeClr>
              </a:solidFill>
              <a:round/>
            </a:ln>
            <a:effectLst/>
          </c:spPr>
          <c:marker>
            <c:symbol val="none"/>
          </c:marker>
          <c:cat>
            <c:strRef>
              <c:f>'WUTC-Monthly2021'!$A$4:$A$15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'WUTC-Monthly2021'!$Q$4:$Q$15</c:f>
              <c:numCache>
                <c:formatCode>_(* #,##0_);_(* \(#,##0\);_(* "-"??_);_(@_)</c:formatCode>
                <c:ptCount val="12"/>
                <c:pt idx="0">
                  <c:v>38138.146666666667</c:v>
                </c:pt>
                <c:pt idx="1">
                  <c:v>64905.08666666667</c:v>
                </c:pt>
                <c:pt idx="2">
                  <c:v>96704.656666666662</c:v>
                </c:pt>
                <c:pt idx="3">
                  <c:v>133593.258</c:v>
                </c:pt>
                <c:pt idx="4">
                  <c:v>174334.60433333332</c:v>
                </c:pt>
                <c:pt idx="5">
                  <c:v>212271.94099999999</c:v>
                </c:pt>
                <c:pt idx="6">
                  <c:v>242755.01766666668</c:v>
                </c:pt>
                <c:pt idx="7">
                  <c:v>267628.41433333332</c:v>
                </c:pt>
                <c:pt idx="8">
                  <c:v>299360.08433333336</c:v>
                </c:pt>
                <c:pt idx="9">
                  <c:v>327011.43433333334</c:v>
                </c:pt>
                <c:pt idx="10">
                  <c:v>357459.30099999998</c:v>
                </c:pt>
                <c:pt idx="11">
                  <c:v>382315.55099999998</c:v>
                </c:pt>
              </c:numCache>
            </c:numRef>
          </c:val>
          <c:smooth val="0"/>
          <c:extLst>
            <c:ext xmlns:c16="http://schemas.microsoft.com/office/drawing/2014/chart" uri="{C3380CC4-5D6E-409C-BE32-E72D297353CC}">
              <c16:uniqueId val="{00000000-E19C-43B9-8AB8-76E81A104524}"/>
            </c:ext>
          </c:extLst>
        </c:ser>
        <c:ser>
          <c:idx val="6"/>
          <c:order val="6"/>
          <c:tx>
            <c:v>2021</c:v>
          </c:tx>
          <c:spPr>
            <a:ln w="28575" cap="rnd">
              <a:solidFill>
                <a:srgbClr val="008080"/>
              </a:solidFill>
              <a:prstDash val="dash"/>
              <a:round/>
              <a:headEnd type="none"/>
              <a:tailEnd type="diamond" w="lg" len="med"/>
            </a:ln>
            <a:effectLst/>
          </c:spPr>
          <c:marker>
            <c:symbol val="none"/>
          </c:marker>
          <c:dPt>
            <c:idx val="1"/>
            <c:marker>
              <c:symbol val="none"/>
            </c:marker>
            <c:bubble3D val="0"/>
            <c:spPr>
              <a:ln w="28575" cap="rnd">
                <a:solidFill>
                  <a:srgbClr val="008080"/>
                </a:solidFill>
                <a:prstDash val="solid"/>
                <a:round/>
                <a:headEnd type="none"/>
                <a:tailEnd type="none" w="lg" len="med"/>
              </a:ln>
              <a:effectLst/>
            </c:spPr>
            <c:extLst>
              <c:ext xmlns:c16="http://schemas.microsoft.com/office/drawing/2014/chart" uri="{C3380CC4-5D6E-409C-BE32-E72D297353CC}">
                <c16:uniqueId val="{00000002-E19C-43B9-8AB8-76E81A104524}"/>
              </c:ext>
            </c:extLst>
          </c:dPt>
          <c:dPt>
            <c:idx val="2"/>
            <c:marker>
              <c:symbol val="none"/>
            </c:marker>
            <c:bubble3D val="0"/>
            <c:spPr>
              <a:ln w="28575" cap="rnd">
                <a:solidFill>
                  <a:srgbClr val="008080"/>
                </a:solidFill>
                <a:prstDash val="solid"/>
                <a:round/>
                <a:headEnd type="none"/>
                <a:tailEnd type="stealth" w="lg" len="med"/>
              </a:ln>
              <a:effectLst/>
            </c:spPr>
            <c:extLst>
              <c:ext xmlns:c16="http://schemas.microsoft.com/office/drawing/2014/chart" uri="{C3380CC4-5D6E-409C-BE32-E72D297353CC}">
                <c16:uniqueId val="{00000004-E19C-43B9-8AB8-76E81A104524}"/>
              </c:ext>
            </c:extLst>
          </c:dPt>
          <c:dPt>
            <c:idx val="3"/>
            <c:marker>
              <c:symbol val="none"/>
            </c:marker>
            <c:bubble3D val="0"/>
            <c:spPr>
              <a:ln w="28575" cap="rnd">
                <a:solidFill>
                  <a:srgbClr val="008080"/>
                </a:solidFill>
                <a:prstDash val="dash"/>
                <a:round/>
                <a:headEnd type="none"/>
                <a:tailEnd type="stealth" w="lg" len="med"/>
              </a:ln>
              <a:effectLst/>
            </c:spPr>
            <c:extLst>
              <c:ext xmlns:c16="http://schemas.microsoft.com/office/drawing/2014/chart" uri="{C3380CC4-5D6E-409C-BE32-E72D297353CC}">
                <c16:uniqueId val="{00000006-E19C-43B9-8AB8-76E81A104524}"/>
              </c:ext>
            </c:extLst>
          </c:dPt>
          <c:dPt>
            <c:idx val="4"/>
            <c:marker>
              <c:symbol val="none"/>
            </c:marker>
            <c:bubble3D val="0"/>
            <c:spPr>
              <a:ln w="28575" cap="rnd">
                <a:solidFill>
                  <a:srgbClr val="008080"/>
                </a:solidFill>
                <a:prstDash val="dash"/>
                <a:round/>
                <a:headEnd type="none"/>
                <a:tailEnd type="stealth" w="lg" len="med"/>
              </a:ln>
              <a:effectLst/>
            </c:spPr>
            <c:extLst>
              <c:ext xmlns:c16="http://schemas.microsoft.com/office/drawing/2014/chart" uri="{C3380CC4-5D6E-409C-BE32-E72D297353CC}">
                <c16:uniqueId val="{00000008-E19C-43B9-8AB8-76E81A104524}"/>
              </c:ext>
            </c:extLst>
          </c:dPt>
          <c:dPt>
            <c:idx val="5"/>
            <c:marker>
              <c:symbol val="none"/>
            </c:marker>
            <c:bubble3D val="0"/>
            <c:spPr>
              <a:ln w="28575" cap="rnd">
                <a:solidFill>
                  <a:srgbClr val="008080"/>
                </a:solidFill>
                <a:prstDash val="dash"/>
                <a:round/>
                <a:headEnd type="none"/>
                <a:tailEnd type="stealth" w="lg" len="med"/>
              </a:ln>
              <a:effectLst/>
            </c:spPr>
            <c:extLst>
              <c:ext xmlns:c16="http://schemas.microsoft.com/office/drawing/2014/chart" uri="{C3380CC4-5D6E-409C-BE32-E72D297353CC}">
                <c16:uniqueId val="{0000000A-E19C-43B9-8AB8-76E81A104524}"/>
              </c:ext>
            </c:extLst>
          </c:dPt>
          <c:dPt>
            <c:idx val="6"/>
            <c:marker>
              <c:symbol val="none"/>
            </c:marker>
            <c:bubble3D val="0"/>
            <c:spPr>
              <a:ln w="28575" cap="rnd">
                <a:solidFill>
                  <a:srgbClr val="008080"/>
                </a:solidFill>
                <a:prstDash val="dash"/>
                <a:round/>
                <a:headEnd type="none"/>
                <a:tailEnd type="stealth" w="lg" len="med"/>
              </a:ln>
              <a:effectLst/>
            </c:spPr>
            <c:extLst>
              <c:ext xmlns:c16="http://schemas.microsoft.com/office/drawing/2014/chart" uri="{C3380CC4-5D6E-409C-BE32-E72D297353CC}">
                <c16:uniqueId val="{0000000C-E19C-43B9-8AB8-76E81A104524}"/>
              </c:ext>
            </c:extLst>
          </c:dPt>
          <c:dPt>
            <c:idx val="7"/>
            <c:marker>
              <c:symbol val="none"/>
            </c:marker>
            <c:bubble3D val="0"/>
            <c:spPr>
              <a:ln w="28575" cap="rnd">
                <a:solidFill>
                  <a:srgbClr val="008080"/>
                </a:solidFill>
                <a:prstDash val="dash"/>
                <a:round/>
                <a:headEnd type="none"/>
                <a:tailEnd type="stealth" w="lg" len="med"/>
              </a:ln>
              <a:effectLst/>
            </c:spPr>
            <c:extLst>
              <c:ext xmlns:c16="http://schemas.microsoft.com/office/drawing/2014/chart" uri="{C3380CC4-5D6E-409C-BE32-E72D297353CC}">
                <c16:uniqueId val="{0000000E-E19C-43B9-8AB8-76E81A104524}"/>
              </c:ext>
            </c:extLst>
          </c:dPt>
          <c:dPt>
            <c:idx val="8"/>
            <c:marker>
              <c:symbol val="none"/>
            </c:marker>
            <c:bubble3D val="0"/>
            <c:spPr>
              <a:ln w="28575" cap="rnd">
                <a:solidFill>
                  <a:srgbClr val="008080"/>
                </a:solidFill>
                <a:prstDash val="dash"/>
                <a:round/>
                <a:headEnd type="none"/>
                <a:tailEnd type="stealth" w="lg" len="med"/>
              </a:ln>
              <a:effectLst/>
            </c:spPr>
            <c:extLst>
              <c:ext xmlns:c16="http://schemas.microsoft.com/office/drawing/2014/chart" uri="{C3380CC4-5D6E-409C-BE32-E72D297353CC}">
                <c16:uniqueId val="{00000010-E19C-43B9-8AB8-76E81A104524}"/>
              </c:ext>
            </c:extLst>
          </c:dPt>
          <c:dPt>
            <c:idx val="9"/>
            <c:marker>
              <c:symbol val="none"/>
            </c:marker>
            <c:bubble3D val="0"/>
            <c:spPr>
              <a:ln w="28575" cap="rnd">
                <a:solidFill>
                  <a:srgbClr val="008080"/>
                </a:solidFill>
                <a:prstDash val="dash"/>
                <a:round/>
                <a:headEnd type="none"/>
                <a:tailEnd type="stealth" w="lg" len="med"/>
              </a:ln>
              <a:effectLst/>
            </c:spPr>
            <c:extLst>
              <c:ext xmlns:c16="http://schemas.microsoft.com/office/drawing/2014/chart" uri="{C3380CC4-5D6E-409C-BE32-E72D297353CC}">
                <c16:uniqueId val="{00000012-E19C-43B9-8AB8-76E81A104524}"/>
              </c:ext>
            </c:extLst>
          </c:dPt>
          <c:dPt>
            <c:idx val="10"/>
            <c:marker>
              <c:symbol val="none"/>
            </c:marker>
            <c:bubble3D val="0"/>
            <c:spPr>
              <a:ln w="28575" cap="rnd">
                <a:solidFill>
                  <a:srgbClr val="008080"/>
                </a:solidFill>
                <a:prstDash val="dash"/>
                <a:round/>
                <a:headEnd type="none"/>
                <a:tailEnd type="stealth" w="lg" len="med"/>
              </a:ln>
              <a:effectLst/>
            </c:spPr>
            <c:extLst>
              <c:ext xmlns:c16="http://schemas.microsoft.com/office/drawing/2014/chart" uri="{C3380CC4-5D6E-409C-BE32-E72D297353CC}">
                <c16:uniqueId val="{00000014-E19C-43B9-8AB8-76E81A104524}"/>
              </c:ext>
            </c:extLst>
          </c:dPt>
          <c:val>
            <c:numRef>
              <c:f>'WUTC-Monthly2021'!$P$4:$P$15</c:f>
              <c:numCache>
                <c:formatCode>_(* #,##0_);_(* \(#,##0\);_(* "-"??_);_(@_)</c:formatCode>
                <c:ptCount val="12"/>
                <c:pt idx="0">
                  <c:v>52675.05</c:v>
                </c:pt>
                <c:pt idx="1">
                  <c:v>94946.510000000009</c:v>
                </c:pt>
                <c:pt idx="2">
                  <c:v>147252.53000000003</c:v>
                </c:pt>
                <c:pt idx="3">
                  <c:v>178276.82001281361</c:v>
                </c:pt>
                <c:pt idx="4">
                  <c:v>208670.71806600544</c:v>
                </c:pt>
                <c:pt idx="5">
                  <c:v>236498.02028359441</c:v>
                </c:pt>
                <c:pt idx="6">
                  <c:v>267477.28229929216</c:v>
                </c:pt>
                <c:pt idx="7">
                  <c:v>299627.27224000177</c:v>
                </c:pt>
                <c:pt idx="8">
                  <c:v>325248.20259891462</c:v>
                </c:pt>
                <c:pt idx="9">
                  <c:v>381893.42297064106</c:v>
                </c:pt>
                <c:pt idx="10">
                  <c:v>429262.87593650451</c:v>
                </c:pt>
                <c:pt idx="11">
                  <c:v>473300.2571157958</c:v>
                </c:pt>
              </c:numCache>
            </c:numRef>
          </c:val>
          <c:smooth val="0"/>
          <c:extLst>
            <c:ext xmlns:c16="http://schemas.microsoft.com/office/drawing/2014/chart" uri="{C3380CC4-5D6E-409C-BE32-E72D297353CC}">
              <c16:uniqueId val="{00000015-E19C-43B9-8AB8-76E81A104524}"/>
            </c:ext>
          </c:extLst>
        </c:ser>
        <c:dLbls>
          <c:showLegendKey val="0"/>
          <c:showVal val="0"/>
          <c:showCatName val="0"/>
          <c:showSerName val="0"/>
          <c:showPercent val="0"/>
          <c:showBubbleSize val="0"/>
        </c:dLbls>
        <c:smooth val="0"/>
        <c:axId val="593345720"/>
        <c:axId val="593345392"/>
        <c:extLst>
          <c:ext xmlns:c15="http://schemas.microsoft.com/office/drawing/2012/chart" uri="{02D57815-91ED-43cb-92C2-25804820EDAC}">
            <c15:filteredLineSeries>
              <c15:ser>
                <c:idx val="0"/>
                <c:order val="0"/>
                <c:tx>
                  <c:v>2016</c:v>
                </c:tx>
                <c:spPr>
                  <a:ln w="22225" cap="rnd">
                    <a:solidFill>
                      <a:schemeClr val="accent3"/>
                    </a:solidFill>
                    <a:prstDash val="dashDot"/>
                    <a:round/>
                  </a:ln>
                  <a:effectLst/>
                </c:spPr>
                <c:marker>
                  <c:symbol val="none"/>
                </c:marker>
                <c:cat>
                  <c:strRef>
                    <c:extLst>
                      <c:ext uri="{02D57815-91ED-43cb-92C2-25804820EDAC}">
                        <c15:formulaRef>
                          <c15:sqref>'WUTC-Monthly2021'!$A$4:$A$15</c15:sqref>
                        </c15:formulaRef>
                      </c:ext>
                    </c:extLst>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extLst>
                      <c:ext uri="{02D57815-91ED-43cb-92C2-25804820EDAC}">
                        <c15:formulaRef>
                          <c15:sqref>'WUTC-Monthly2021'!$K$3:$K$15</c15:sqref>
                        </c15:formulaRef>
                      </c:ext>
                    </c:extLst>
                    <c:numCache>
                      <c:formatCode>_(* #,##0_);_(* \(#,##0\);_(* "-"??_);_(@_)</c:formatCode>
                      <c:ptCount val="13"/>
                      <c:pt idx="0" formatCode="General">
                        <c:v>0</c:v>
                      </c:pt>
                      <c:pt idx="1">
                        <c:v>0</c:v>
                      </c:pt>
                      <c:pt idx="2">
                        <c:v>1419</c:v>
                      </c:pt>
                      <c:pt idx="3">
                        <c:v>11123</c:v>
                      </c:pt>
                      <c:pt idx="4">
                        <c:v>21962</c:v>
                      </c:pt>
                      <c:pt idx="5">
                        <c:v>29718</c:v>
                      </c:pt>
                      <c:pt idx="6">
                        <c:v>48011</c:v>
                      </c:pt>
                      <c:pt idx="7">
                        <c:v>55975</c:v>
                      </c:pt>
                      <c:pt idx="8">
                        <c:v>72958</c:v>
                      </c:pt>
                      <c:pt idx="9">
                        <c:v>87736</c:v>
                      </c:pt>
                      <c:pt idx="10">
                        <c:v>106200</c:v>
                      </c:pt>
                      <c:pt idx="11">
                        <c:v>121938</c:v>
                      </c:pt>
                      <c:pt idx="12">
                        <c:v>171620</c:v>
                      </c:pt>
                    </c:numCache>
                  </c:numRef>
                </c:val>
                <c:smooth val="0"/>
                <c:extLst>
                  <c:ext xmlns:c16="http://schemas.microsoft.com/office/drawing/2014/chart" uri="{C3380CC4-5D6E-409C-BE32-E72D297353CC}">
                    <c16:uniqueId val="{00000016-E19C-43B9-8AB8-76E81A104524}"/>
                  </c:ext>
                </c:extLst>
              </c15:ser>
            </c15:filteredLineSeries>
            <c15:filteredLineSeries>
              <c15:ser>
                <c:idx val="1"/>
                <c:order val="1"/>
                <c:tx>
                  <c:v>2017</c:v>
                </c:tx>
                <c:spPr>
                  <a:ln w="28575" cap="rnd">
                    <a:solidFill>
                      <a:schemeClr val="accent5">
                        <a:lumMod val="75000"/>
                      </a:schemeClr>
                    </a:solidFill>
                    <a:prstDash val="lgDashDot"/>
                    <a:round/>
                  </a:ln>
                  <a:effectLst/>
                </c:spPr>
                <c:marker>
                  <c:symbol val="none"/>
                </c:marker>
                <c:cat>
                  <c:strRef>
                    <c:extLst xmlns:c15="http://schemas.microsoft.com/office/drawing/2012/chart">
                      <c:ext xmlns:c15="http://schemas.microsoft.com/office/drawing/2012/chart" uri="{02D57815-91ED-43cb-92C2-25804820EDAC}">
                        <c15:formulaRef>
                          <c15:sqref>'WUTC-Monthly2021'!$A$4:$A$15</c15:sqref>
                        </c15:formulaRef>
                      </c:ext>
                    </c:extLst>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extLst xmlns:c15="http://schemas.microsoft.com/office/drawing/2012/chart">
                      <c:ext xmlns:c15="http://schemas.microsoft.com/office/drawing/2012/chart" uri="{02D57815-91ED-43cb-92C2-25804820EDAC}">
                        <c15:formulaRef>
                          <c15:sqref>'WUTC-Monthly2021'!$L$3:$L$15</c15:sqref>
                        </c15:formulaRef>
                      </c:ext>
                    </c:extLst>
                    <c:numCache>
                      <c:formatCode>_(* #,##0_);_(* \(#,##0\);_(* "-"??_);_(@_)</c:formatCode>
                      <c:ptCount val="13"/>
                      <c:pt idx="0" formatCode="General">
                        <c:v>0</c:v>
                      </c:pt>
                      <c:pt idx="1">
                        <c:v>15259.95</c:v>
                      </c:pt>
                      <c:pt idx="2">
                        <c:v>32907.699999999997</c:v>
                      </c:pt>
                      <c:pt idx="3">
                        <c:v>62353.229999999996</c:v>
                      </c:pt>
                      <c:pt idx="4">
                        <c:v>83820.579999999987</c:v>
                      </c:pt>
                      <c:pt idx="5">
                        <c:v>114964.93</c:v>
                      </c:pt>
                      <c:pt idx="6">
                        <c:v>146753.11199999999</c:v>
                      </c:pt>
                      <c:pt idx="7">
                        <c:v>167711.022</c:v>
                      </c:pt>
                      <c:pt idx="8">
                        <c:v>186908.652</c:v>
                      </c:pt>
                      <c:pt idx="9">
                        <c:v>209663.182</c:v>
                      </c:pt>
                      <c:pt idx="10">
                        <c:v>227538.75200000001</c:v>
                      </c:pt>
                      <c:pt idx="11">
                        <c:v>250380.092</c:v>
                      </c:pt>
                      <c:pt idx="12">
                        <c:v>284155.94199999998</c:v>
                      </c:pt>
                    </c:numCache>
                  </c:numRef>
                </c:val>
                <c:smooth val="0"/>
                <c:extLst xmlns:c15="http://schemas.microsoft.com/office/drawing/2012/chart">
                  <c:ext xmlns:c16="http://schemas.microsoft.com/office/drawing/2014/chart" uri="{C3380CC4-5D6E-409C-BE32-E72D297353CC}">
                    <c16:uniqueId val="{00000017-E19C-43B9-8AB8-76E81A104524}"/>
                  </c:ext>
                </c:extLst>
              </c15:ser>
            </c15:filteredLineSeries>
            <c15:filteredLineSeries>
              <c15:ser>
                <c:idx val="2"/>
                <c:order val="2"/>
                <c:tx>
                  <c:v>2018</c:v>
                </c:tx>
                <c:spPr>
                  <a:ln w="28575" cap="rnd">
                    <a:solidFill>
                      <a:schemeClr val="accent1">
                        <a:lumMod val="60000"/>
                        <a:lumOff val="40000"/>
                      </a:schemeClr>
                    </a:solidFill>
                    <a:prstDash val="sysDash"/>
                    <a:round/>
                  </a:ln>
                  <a:effectLst/>
                </c:spPr>
                <c:marker>
                  <c:symbol val="none"/>
                </c:marker>
                <c:cat>
                  <c:strRef>
                    <c:extLst xmlns:c15="http://schemas.microsoft.com/office/drawing/2012/chart">
                      <c:ext xmlns:c15="http://schemas.microsoft.com/office/drawing/2012/chart" uri="{02D57815-91ED-43cb-92C2-25804820EDAC}">
                        <c15:formulaRef>
                          <c15:sqref>'WUTC-Monthly2021'!$A$4:$A$15</c15:sqref>
                        </c15:formulaRef>
                      </c:ext>
                    </c:extLst>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extLst xmlns:c15="http://schemas.microsoft.com/office/drawing/2012/chart">
                      <c:ext xmlns:c15="http://schemas.microsoft.com/office/drawing/2012/chart" uri="{02D57815-91ED-43cb-92C2-25804820EDAC}">
                        <c15:formulaRef>
                          <c15:sqref>'WUTC-Monthly2021'!$M$3:$M$15</c15:sqref>
                        </c15:formulaRef>
                      </c:ext>
                    </c:extLst>
                    <c:numCache>
                      <c:formatCode>_(* #,##0_);_(* \(#,##0\);_(* "-"??_);_(@_)</c:formatCode>
                      <c:ptCount val="13"/>
                      <c:pt idx="0" formatCode="General">
                        <c:v>0</c:v>
                      </c:pt>
                      <c:pt idx="1">
                        <c:v>23661.530000000002</c:v>
                      </c:pt>
                      <c:pt idx="2">
                        <c:v>42707.100000000006</c:v>
                      </c:pt>
                      <c:pt idx="3">
                        <c:v>76223.23000000001</c:v>
                      </c:pt>
                      <c:pt idx="4">
                        <c:v>109335.26000000001</c:v>
                      </c:pt>
                      <c:pt idx="5">
                        <c:v>152558.85500000001</c:v>
                      </c:pt>
                      <c:pt idx="6">
                        <c:v>203765.375</c:v>
                      </c:pt>
                      <c:pt idx="7">
                        <c:v>240106.565</c:v>
                      </c:pt>
                      <c:pt idx="8">
                        <c:v>277412.565</c:v>
                      </c:pt>
                      <c:pt idx="9">
                        <c:v>318903.185</c:v>
                      </c:pt>
                      <c:pt idx="10">
                        <c:v>349117.315</c:v>
                      </c:pt>
                      <c:pt idx="11">
                        <c:v>391339.685</c:v>
                      </c:pt>
                      <c:pt idx="12">
                        <c:v>418686.36499999999</c:v>
                      </c:pt>
                    </c:numCache>
                  </c:numRef>
                </c:val>
                <c:smooth val="0"/>
                <c:extLst xmlns:c15="http://schemas.microsoft.com/office/drawing/2012/chart">
                  <c:ext xmlns:c16="http://schemas.microsoft.com/office/drawing/2014/chart" uri="{C3380CC4-5D6E-409C-BE32-E72D297353CC}">
                    <c16:uniqueId val="{00000018-E19C-43B9-8AB8-76E81A104524}"/>
                  </c:ext>
                </c:extLst>
              </c15:ser>
            </c15:filteredLineSeries>
            <c15:filteredLineSeries>
              <c15:ser>
                <c:idx val="3"/>
                <c:order val="3"/>
                <c:tx>
                  <c:v>2019</c:v>
                </c:tx>
                <c:spPr>
                  <a:ln w="31750" cap="rnd">
                    <a:solidFill>
                      <a:srgbClr val="008080"/>
                    </a:solidFill>
                    <a:round/>
                  </a:ln>
                  <a:effectLst/>
                </c:spPr>
                <c:marker>
                  <c:symbol val="none"/>
                </c:marker>
                <c:cat>
                  <c:strRef>
                    <c:extLst xmlns:c15="http://schemas.microsoft.com/office/drawing/2012/chart">
                      <c:ext xmlns:c15="http://schemas.microsoft.com/office/drawing/2012/chart" uri="{02D57815-91ED-43cb-92C2-25804820EDAC}">
                        <c15:formulaRef>
                          <c15:sqref>'WUTC-Monthly2021'!$A$4:$A$15</c15:sqref>
                        </c15:formulaRef>
                      </c:ext>
                    </c:extLst>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extLst xmlns:c15="http://schemas.microsoft.com/office/drawing/2012/chart">
                      <c:ext xmlns:c15="http://schemas.microsoft.com/office/drawing/2012/chart" uri="{02D57815-91ED-43cb-92C2-25804820EDAC}">
                        <c15:formulaRef>
                          <c15:sqref>'WUTC-Monthly2021'!$N$3:$N$15</c15:sqref>
                        </c15:formulaRef>
                      </c:ext>
                    </c:extLst>
                    <c:numCache>
                      <c:formatCode>_(* #,##0_);_(* \(#,##0\);_(* "-"??_);_(@_)</c:formatCode>
                      <c:ptCount val="13"/>
                      <c:pt idx="0" formatCode="General">
                        <c:v>0</c:v>
                      </c:pt>
                      <c:pt idx="1">
                        <c:v>44854.889999999992</c:v>
                      </c:pt>
                      <c:pt idx="2">
                        <c:v>86811.28</c:v>
                      </c:pt>
                      <c:pt idx="3">
                        <c:v>115058.37</c:v>
                      </c:pt>
                      <c:pt idx="4">
                        <c:v>147958.85399999999</c:v>
                      </c:pt>
                      <c:pt idx="5">
                        <c:v>188938.11799999999</c:v>
                      </c:pt>
                      <c:pt idx="6">
                        <c:v>217235.43799999999</c:v>
                      </c:pt>
                      <c:pt idx="7">
                        <c:v>242998.318</c:v>
                      </c:pt>
                      <c:pt idx="8">
                        <c:v>266442.79800000001</c:v>
                      </c:pt>
                      <c:pt idx="9">
                        <c:v>287542.68800000002</c:v>
                      </c:pt>
                      <c:pt idx="10">
                        <c:v>315065.66800000001</c:v>
                      </c:pt>
                      <c:pt idx="11">
                        <c:v>344614.32799999998</c:v>
                      </c:pt>
                      <c:pt idx="12">
                        <c:v>361738.67799999996</c:v>
                      </c:pt>
                    </c:numCache>
                  </c:numRef>
                </c:val>
                <c:smooth val="0"/>
                <c:extLst xmlns:c15="http://schemas.microsoft.com/office/drawing/2012/chart">
                  <c:ext xmlns:c16="http://schemas.microsoft.com/office/drawing/2014/chart" uri="{C3380CC4-5D6E-409C-BE32-E72D297353CC}">
                    <c16:uniqueId val="{00000019-E19C-43B9-8AB8-76E81A104524}"/>
                  </c:ext>
                </c:extLst>
              </c15:ser>
            </c15:filteredLineSeries>
            <c15:filteredLineSeries>
              <c15:ser>
                <c:idx val="4"/>
                <c:order val="4"/>
                <c:tx>
                  <c:v>2020</c:v>
                </c:tx>
                <c:spPr>
                  <a:ln w="28575" cap="rnd">
                    <a:solidFill>
                      <a:srgbClr val="FF0000"/>
                    </a:solidFill>
                    <a:round/>
                    <a:tailEnd w="med" len="lg"/>
                  </a:ln>
                  <a:effectLst/>
                </c:spPr>
                <c:marker>
                  <c:symbol val="none"/>
                </c:marker>
                <c:dPt>
                  <c:idx val="4"/>
                  <c:marker>
                    <c:symbol val="none"/>
                  </c:marker>
                  <c:bubble3D val="0"/>
                  <c:spPr>
                    <a:ln w="28575" cap="rnd">
                      <a:solidFill>
                        <a:srgbClr val="FF0000"/>
                      </a:solidFill>
                      <a:prstDash val="solid"/>
                      <a:round/>
                      <a:tailEnd w="med" len="lg"/>
                    </a:ln>
                    <a:effectLst/>
                  </c:spPr>
                  <c:extLst xmlns:c15="http://schemas.microsoft.com/office/drawing/2012/chart">
                    <c:ext xmlns:c16="http://schemas.microsoft.com/office/drawing/2014/chart" uri="{C3380CC4-5D6E-409C-BE32-E72D297353CC}">
                      <c16:uniqueId val="{0000001B-E19C-43B9-8AB8-76E81A104524}"/>
                    </c:ext>
                  </c:extLst>
                </c:dPt>
                <c:dPt>
                  <c:idx val="5"/>
                  <c:marker>
                    <c:symbol val="none"/>
                  </c:marker>
                  <c:bubble3D val="0"/>
                  <c:spPr>
                    <a:ln w="28575" cap="rnd">
                      <a:solidFill>
                        <a:srgbClr val="FF0000"/>
                      </a:solidFill>
                      <a:prstDash val="solid"/>
                      <a:round/>
                      <a:tailEnd type="none" w="med" len="lg"/>
                    </a:ln>
                    <a:effectLst/>
                  </c:spPr>
                  <c:extLst xmlns:c15="http://schemas.microsoft.com/office/drawing/2012/chart">
                    <c:ext xmlns:c16="http://schemas.microsoft.com/office/drawing/2014/chart" uri="{C3380CC4-5D6E-409C-BE32-E72D297353CC}">
                      <c16:uniqueId val="{0000001D-E19C-43B9-8AB8-76E81A104524}"/>
                    </c:ext>
                  </c:extLst>
                </c:dPt>
                <c:dPt>
                  <c:idx val="6"/>
                  <c:marker>
                    <c:symbol val="none"/>
                  </c:marker>
                  <c:bubble3D val="0"/>
                  <c:spPr>
                    <a:ln w="28575" cap="rnd">
                      <a:solidFill>
                        <a:srgbClr val="FF0000"/>
                      </a:solidFill>
                      <a:prstDash val="solid"/>
                      <a:round/>
                      <a:tailEnd type="none" w="med" len="lg"/>
                    </a:ln>
                    <a:effectLst/>
                  </c:spPr>
                  <c:extLst xmlns:c15="http://schemas.microsoft.com/office/drawing/2012/chart">
                    <c:ext xmlns:c16="http://schemas.microsoft.com/office/drawing/2014/chart" uri="{C3380CC4-5D6E-409C-BE32-E72D297353CC}">
                      <c16:uniqueId val="{0000001F-E19C-43B9-8AB8-76E81A104524}"/>
                    </c:ext>
                  </c:extLst>
                </c:dPt>
                <c:dPt>
                  <c:idx val="7"/>
                  <c:marker>
                    <c:symbol val="none"/>
                  </c:marker>
                  <c:bubble3D val="0"/>
                  <c:spPr>
                    <a:ln w="28575" cap="rnd">
                      <a:solidFill>
                        <a:srgbClr val="FF0000"/>
                      </a:solidFill>
                      <a:prstDash val="solid"/>
                      <a:round/>
                      <a:tailEnd type="none" w="med" len="lg"/>
                    </a:ln>
                    <a:effectLst/>
                  </c:spPr>
                  <c:extLst xmlns:c15="http://schemas.microsoft.com/office/drawing/2012/chart">
                    <c:ext xmlns:c16="http://schemas.microsoft.com/office/drawing/2014/chart" uri="{C3380CC4-5D6E-409C-BE32-E72D297353CC}">
                      <c16:uniqueId val="{00000021-E19C-43B9-8AB8-76E81A104524}"/>
                    </c:ext>
                  </c:extLst>
                </c:dPt>
                <c:dPt>
                  <c:idx val="8"/>
                  <c:marker>
                    <c:symbol val="none"/>
                  </c:marker>
                  <c:bubble3D val="0"/>
                  <c:spPr>
                    <a:ln w="28575" cap="rnd">
                      <a:solidFill>
                        <a:srgbClr val="FF0000"/>
                      </a:solidFill>
                      <a:prstDash val="solid"/>
                      <a:round/>
                      <a:tailEnd type="none" w="med" len="lg"/>
                    </a:ln>
                    <a:effectLst/>
                  </c:spPr>
                  <c:extLst xmlns:c15="http://schemas.microsoft.com/office/drawing/2012/chart">
                    <c:ext xmlns:c16="http://schemas.microsoft.com/office/drawing/2014/chart" uri="{C3380CC4-5D6E-409C-BE32-E72D297353CC}">
                      <c16:uniqueId val="{00000023-E19C-43B9-8AB8-76E81A104524}"/>
                    </c:ext>
                  </c:extLst>
                </c:dPt>
                <c:dPt>
                  <c:idx val="9"/>
                  <c:marker>
                    <c:symbol val="none"/>
                  </c:marker>
                  <c:bubble3D val="0"/>
                  <c:spPr>
                    <a:ln w="28575" cap="rnd">
                      <a:solidFill>
                        <a:srgbClr val="FF0000"/>
                      </a:solidFill>
                      <a:prstDash val="solid"/>
                      <a:round/>
                      <a:tailEnd type="none" w="med" len="lg"/>
                    </a:ln>
                    <a:effectLst/>
                  </c:spPr>
                  <c:extLst xmlns:c15="http://schemas.microsoft.com/office/drawing/2012/chart">
                    <c:ext xmlns:c16="http://schemas.microsoft.com/office/drawing/2014/chart" uri="{C3380CC4-5D6E-409C-BE32-E72D297353CC}">
                      <c16:uniqueId val="{00000025-E19C-43B9-8AB8-76E81A104524}"/>
                    </c:ext>
                  </c:extLst>
                </c:dPt>
                <c:dPt>
                  <c:idx val="10"/>
                  <c:marker>
                    <c:symbol val="none"/>
                  </c:marker>
                  <c:bubble3D val="0"/>
                  <c:spPr>
                    <a:ln w="28575" cap="rnd">
                      <a:solidFill>
                        <a:srgbClr val="FF0000"/>
                      </a:solidFill>
                      <a:prstDash val="solid"/>
                      <a:round/>
                      <a:tailEnd type="triangle" w="med" len="lg"/>
                    </a:ln>
                    <a:effectLst/>
                  </c:spPr>
                  <c:extLst xmlns:c15="http://schemas.microsoft.com/office/drawing/2012/chart">
                    <c:ext xmlns:c16="http://schemas.microsoft.com/office/drawing/2014/chart" uri="{C3380CC4-5D6E-409C-BE32-E72D297353CC}">
                      <c16:uniqueId val="{00000027-E19C-43B9-8AB8-76E81A104524}"/>
                    </c:ext>
                  </c:extLst>
                </c:dPt>
                <c:dPt>
                  <c:idx val="11"/>
                  <c:marker>
                    <c:symbol val="none"/>
                  </c:marker>
                  <c:bubble3D val="0"/>
                  <c:spPr>
                    <a:ln w="28575" cap="rnd">
                      <a:solidFill>
                        <a:srgbClr val="FF0000"/>
                      </a:solidFill>
                      <a:prstDash val="sysDot"/>
                      <a:round/>
                      <a:tailEnd type="oval" w="med" len="lg"/>
                    </a:ln>
                    <a:effectLst/>
                  </c:spPr>
                  <c:extLst xmlns:c15="http://schemas.microsoft.com/office/drawing/2012/chart">
                    <c:ext xmlns:c16="http://schemas.microsoft.com/office/drawing/2014/chart" uri="{C3380CC4-5D6E-409C-BE32-E72D297353CC}">
                      <c16:uniqueId val="{00000029-E19C-43B9-8AB8-76E81A104524}"/>
                    </c:ext>
                  </c:extLst>
                </c:dPt>
                <c:cat>
                  <c:strRef>
                    <c:extLst xmlns:c15="http://schemas.microsoft.com/office/drawing/2012/chart">
                      <c:ext xmlns:c15="http://schemas.microsoft.com/office/drawing/2012/chart" uri="{02D57815-91ED-43cb-92C2-25804820EDAC}">
                        <c15:formulaRef>
                          <c15:sqref>'WUTC-Monthly2021'!$A$4:$A$15</c15:sqref>
                        </c15:formulaRef>
                      </c:ext>
                    </c:extLst>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extLst xmlns:c15="http://schemas.microsoft.com/office/drawing/2012/chart">
                      <c:ext xmlns:c15="http://schemas.microsoft.com/office/drawing/2012/chart" uri="{02D57815-91ED-43cb-92C2-25804820EDAC}">
                        <c15:formulaRef>
                          <c15:sqref>'WUTC-Monthly2021'!$O$4:$O$15</c15:sqref>
                        </c15:formulaRef>
                      </c:ext>
                    </c:extLst>
                    <c:numCache>
                      <c:formatCode>_(* #,##0_);_(* \(#,##0\);_(* "-"??_);_(@_)</c:formatCode>
                      <c:ptCount val="12"/>
                      <c:pt idx="0">
                        <c:v>45898.02</c:v>
                      </c:pt>
                      <c:pt idx="1">
                        <c:v>65196.88</c:v>
                      </c:pt>
                      <c:pt idx="2">
                        <c:v>98832.37</c:v>
                      </c:pt>
                      <c:pt idx="3">
                        <c:v>143485.66</c:v>
                      </c:pt>
                      <c:pt idx="4">
                        <c:v>181506.84</c:v>
                      </c:pt>
                      <c:pt idx="5">
                        <c:v>215815.01</c:v>
                      </c:pt>
                      <c:pt idx="6">
                        <c:v>245160.17</c:v>
                      </c:pt>
                      <c:pt idx="7">
                        <c:v>259029.88</c:v>
                      </c:pt>
                      <c:pt idx="8">
                        <c:v>291634.38</c:v>
                      </c:pt>
                      <c:pt idx="9">
                        <c:v>316851.32</c:v>
                      </c:pt>
                      <c:pt idx="10">
                        <c:v>336423.89</c:v>
                      </c:pt>
                      <c:pt idx="11">
                        <c:v>366521.61</c:v>
                      </c:pt>
                    </c:numCache>
                  </c:numRef>
                </c:val>
                <c:smooth val="0"/>
                <c:extLst xmlns:c15="http://schemas.microsoft.com/office/drawing/2012/chart">
                  <c:ext xmlns:c16="http://schemas.microsoft.com/office/drawing/2014/chart" uri="{C3380CC4-5D6E-409C-BE32-E72D297353CC}">
                    <c16:uniqueId val="{0000002A-E19C-43B9-8AB8-76E81A104524}"/>
                  </c:ext>
                </c:extLst>
              </c15:ser>
            </c15:filteredLineSeries>
          </c:ext>
        </c:extLst>
      </c:lineChart>
      <c:catAx>
        <c:axId val="593345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3345392"/>
        <c:crosses val="autoZero"/>
        <c:auto val="1"/>
        <c:lblAlgn val="ctr"/>
        <c:lblOffset val="100"/>
        <c:noMultiLvlLbl val="0"/>
      </c:catAx>
      <c:valAx>
        <c:axId val="5933453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3345720"/>
        <c:crosses val="autoZero"/>
        <c:crossBetween val="between"/>
      </c:valAx>
      <c:spPr>
        <a:noFill/>
        <a:ln w="25400">
          <a:noFill/>
        </a:ln>
        <a:effectLst/>
      </c:spPr>
    </c:plotArea>
    <c:legend>
      <c:legendPos val="b"/>
      <c:layout>
        <c:manualLayout>
          <c:xMode val="edge"/>
          <c:yMode val="edge"/>
          <c:x val="0.3142194594096791"/>
          <c:y val="3.6863476177627294E-2"/>
          <c:w val="0.3762394437537413"/>
          <c:h val="7.009394853680672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1"/>
          <c:order val="0"/>
          <c:tx>
            <c:strRef>
              <c:f>Sheet1!$C$1</c:f>
              <c:strCache>
                <c:ptCount val="1"/>
                <c:pt idx="0">
                  <c:v>Therms Achieved</c:v>
                </c:pt>
              </c:strCache>
            </c:strRef>
          </c:tx>
          <c:spPr>
            <a:pattFill prst="pct25">
              <a:fgClr>
                <a:srgbClr val="728E3A"/>
              </a:fgClr>
              <a:bgClr>
                <a:schemeClr val="bg1"/>
              </a:bgClr>
            </a:pattFill>
            <a:ln>
              <a:noFill/>
            </a:ln>
            <a:effectLst/>
          </c:spPr>
          <c:invertIfNegative val="0"/>
          <c:dLbls>
            <c:dLbl>
              <c:idx val="0"/>
              <c:numFmt formatCode="#,##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6="http://schemas.microsoft.com/office/drawing/2014/chart" uri="{C3380CC4-5D6E-409C-BE32-E72D297353CC}">
                  <c16:uniqueId val="{00000000-BBA3-412B-B035-DC18696D642C}"/>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Category 1</c:v>
                </c:pt>
              </c:strCache>
            </c:strRef>
          </c:cat>
          <c:val>
            <c:numRef>
              <c:f>Sheet1!$C$2</c:f>
              <c:numCache>
                <c:formatCode>General</c:formatCode>
                <c:ptCount val="1"/>
                <c:pt idx="0">
                  <c:v>147253</c:v>
                </c:pt>
              </c:numCache>
            </c:numRef>
          </c:val>
          <c:extLst>
            <c:ext xmlns:c16="http://schemas.microsoft.com/office/drawing/2014/chart" uri="{C3380CC4-5D6E-409C-BE32-E72D297353CC}">
              <c16:uniqueId val="{00000001-BBA3-412B-B035-DC18696D642C}"/>
            </c:ext>
          </c:extLst>
        </c:ser>
        <c:ser>
          <c:idx val="2"/>
          <c:order val="1"/>
          <c:tx>
            <c:strRef>
              <c:f>Sheet1!$D$1</c:f>
              <c:strCache>
                <c:ptCount val="1"/>
                <c:pt idx="0">
                  <c:v>Therms in Progress</c:v>
                </c:pt>
              </c:strCache>
            </c:strRef>
          </c:tx>
          <c:spPr>
            <a:solidFill>
              <a:schemeClr val="accent3"/>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0">
                <a:spAutoFit/>
              </a:bodyPr>
              <a:lstStyle/>
              <a:p>
                <a:pPr algn="l">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Category 1</c:v>
                </c:pt>
              </c:strCache>
            </c:strRef>
          </c:cat>
          <c:val>
            <c:numRef>
              <c:f>Sheet1!$D$2</c:f>
              <c:numCache>
                <c:formatCode>General</c:formatCode>
                <c:ptCount val="1"/>
                <c:pt idx="0">
                  <c:v>66126</c:v>
                </c:pt>
              </c:numCache>
            </c:numRef>
          </c:val>
          <c:extLst>
            <c:ext xmlns:c16="http://schemas.microsoft.com/office/drawing/2014/chart" uri="{C3380CC4-5D6E-409C-BE32-E72D297353CC}">
              <c16:uniqueId val="{00000002-BBA3-412B-B035-DC18696D642C}"/>
            </c:ext>
          </c:extLst>
        </c:ser>
        <c:ser>
          <c:idx val="0"/>
          <c:order val="2"/>
          <c:tx>
            <c:strRef>
              <c:f>Sheet1!$E$1</c:f>
              <c:strCache>
                <c:ptCount val="1"/>
                <c:pt idx="0">
                  <c:v>Therms to Goal</c:v>
                </c:pt>
              </c:strCache>
            </c:strRef>
          </c:tx>
          <c:spPr>
            <a:solidFill>
              <a:schemeClr val="accent5">
                <a:lumMod val="60000"/>
                <a:lumOff val="40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Category 1</c:v>
                </c:pt>
              </c:strCache>
            </c:strRef>
          </c:cat>
          <c:val>
            <c:numRef>
              <c:f>Sheet1!$E$2</c:f>
              <c:numCache>
                <c:formatCode>General</c:formatCode>
                <c:ptCount val="1"/>
                <c:pt idx="0">
                  <c:v>257785</c:v>
                </c:pt>
              </c:numCache>
            </c:numRef>
          </c:val>
          <c:extLst>
            <c:ext xmlns:c16="http://schemas.microsoft.com/office/drawing/2014/chart" uri="{C3380CC4-5D6E-409C-BE32-E72D297353CC}">
              <c16:uniqueId val="{00000003-BBA3-412B-B035-DC18696D642C}"/>
            </c:ext>
          </c:extLst>
        </c:ser>
        <c:dLbls>
          <c:showLegendKey val="0"/>
          <c:showVal val="0"/>
          <c:showCatName val="0"/>
          <c:showSerName val="0"/>
          <c:showPercent val="0"/>
          <c:showBubbleSize val="0"/>
        </c:dLbls>
        <c:gapWidth val="150"/>
        <c:overlap val="100"/>
        <c:axId val="489388520"/>
        <c:axId val="489383600"/>
      </c:barChart>
      <c:catAx>
        <c:axId val="489388520"/>
        <c:scaling>
          <c:orientation val="minMax"/>
        </c:scaling>
        <c:delete val="1"/>
        <c:axPos val="l"/>
        <c:numFmt formatCode="General" sourceLinked="1"/>
        <c:majorTickMark val="none"/>
        <c:minorTickMark val="none"/>
        <c:tickLblPos val="nextTo"/>
        <c:crossAx val="489383600"/>
        <c:crosses val="autoZero"/>
        <c:auto val="1"/>
        <c:lblAlgn val="ctr"/>
        <c:lblOffset val="100"/>
        <c:noMultiLvlLbl val="0"/>
      </c:catAx>
      <c:valAx>
        <c:axId val="489383600"/>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9388520"/>
        <c:crosses val="autoZero"/>
        <c:crossBetween val="between"/>
      </c:valAx>
      <c:spPr>
        <a:noFill/>
        <a:ln>
          <a:noFill/>
        </a:ln>
        <a:effectLst/>
      </c:spPr>
    </c:plotArea>
    <c:legend>
      <c:legendPos val="t"/>
      <c:layout>
        <c:manualLayout>
          <c:xMode val="edge"/>
          <c:yMode val="edge"/>
          <c:x val="0.22091371391076114"/>
          <c:y val="0.21333333333333335"/>
          <c:w val="0.5202863704536933"/>
          <c:h val="9.320694896567921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6322990177300007E-2"/>
          <c:y val="2.0653953173409095E-2"/>
          <c:w val="0.93671276900612732"/>
          <c:h val="0.9029166666666667"/>
        </c:manualLayout>
      </c:layout>
      <c:barChart>
        <c:barDir val="col"/>
        <c:grouping val="clustered"/>
        <c:varyColors val="0"/>
        <c:ser>
          <c:idx val="2"/>
          <c:order val="2"/>
          <c:tx>
            <c:strRef>
              <c:f>InflowData!$G$25</c:f>
              <c:strCache>
                <c:ptCount val="1"/>
                <c:pt idx="0">
                  <c:v>2018</c:v>
                </c:pt>
              </c:strCache>
            </c:strRef>
          </c:tx>
          <c:spPr>
            <a:solidFill>
              <a:schemeClr val="accent5"/>
            </a:solidFill>
            <a:ln>
              <a:noFill/>
            </a:ln>
            <a:effectLst/>
          </c:spPr>
          <c:invertIfNegative val="0"/>
          <c:cat>
            <c:strRef>
              <c:f>InflowData!$A$26:$A$37</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InflowData!$G$26:$G$37</c:f>
              <c:numCache>
                <c:formatCode>General</c:formatCode>
                <c:ptCount val="12"/>
                <c:pt idx="0">
                  <c:v>232</c:v>
                </c:pt>
                <c:pt idx="1">
                  <c:v>244</c:v>
                </c:pt>
                <c:pt idx="2">
                  <c:v>280</c:v>
                </c:pt>
                <c:pt idx="3">
                  <c:v>233</c:v>
                </c:pt>
                <c:pt idx="4">
                  <c:v>261</c:v>
                </c:pt>
                <c:pt idx="5">
                  <c:v>189</c:v>
                </c:pt>
                <c:pt idx="6">
                  <c:v>217</c:v>
                </c:pt>
                <c:pt idx="7">
                  <c:v>275</c:v>
                </c:pt>
                <c:pt idx="8">
                  <c:v>207</c:v>
                </c:pt>
                <c:pt idx="9">
                  <c:v>352</c:v>
                </c:pt>
                <c:pt idx="10">
                  <c:v>365</c:v>
                </c:pt>
                <c:pt idx="11">
                  <c:v>251</c:v>
                </c:pt>
              </c:numCache>
            </c:numRef>
          </c:val>
          <c:extLst>
            <c:ext xmlns:c16="http://schemas.microsoft.com/office/drawing/2014/chart" uri="{C3380CC4-5D6E-409C-BE32-E72D297353CC}">
              <c16:uniqueId val="{00000000-7FFA-44CC-9B6D-28A20EB05976}"/>
            </c:ext>
          </c:extLst>
        </c:ser>
        <c:ser>
          <c:idx val="3"/>
          <c:order val="3"/>
          <c:tx>
            <c:strRef>
              <c:f>InflowData!$F$25</c:f>
              <c:strCache>
                <c:ptCount val="1"/>
                <c:pt idx="0">
                  <c:v>2019</c:v>
                </c:pt>
              </c:strCache>
            </c:strRef>
          </c:tx>
          <c:spPr>
            <a:solidFill>
              <a:schemeClr val="accent1">
                <a:lumMod val="60000"/>
              </a:schemeClr>
            </a:solidFill>
            <a:ln>
              <a:noFill/>
            </a:ln>
            <a:effectLst/>
          </c:spPr>
          <c:invertIfNegative val="0"/>
          <c:cat>
            <c:strRef>
              <c:f>InflowData!$A$26:$A$37</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InflowData!$F$26:$F$37</c:f>
              <c:numCache>
                <c:formatCode>General</c:formatCode>
                <c:ptCount val="12"/>
                <c:pt idx="0">
                  <c:v>333</c:v>
                </c:pt>
                <c:pt idx="1">
                  <c:v>223</c:v>
                </c:pt>
                <c:pt idx="2">
                  <c:v>224</c:v>
                </c:pt>
                <c:pt idx="3">
                  <c:v>237</c:v>
                </c:pt>
                <c:pt idx="4">
                  <c:v>206</c:v>
                </c:pt>
                <c:pt idx="5">
                  <c:v>184</c:v>
                </c:pt>
                <c:pt idx="6">
                  <c:v>237</c:v>
                </c:pt>
                <c:pt idx="7">
                  <c:v>201</c:v>
                </c:pt>
                <c:pt idx="8">
                  <c:v>147</c:v>
                </c:pt>
                <c:pt idx="9">
                  <c:v>202</c:v>
                </c:pt>
                <c:pt idx="10">
                  <c:v>300</c:v>
                </c:pt>
                <c:pt idx="11">
                  <c:v>369</c:v>
                </c:pt>
              </c:numCache>
            </c:numRef>
          </c:val>
          <c:extLst>
            <c:ext xmlns:c16="http://schemas.microsoft.com/office/drawing/2014/chart" uri="{C3380CC4-5D6E-409C-BE32-E72D297353CC}">
              <c16:uniqueId val="{00000001-7FFA-44CC-9B6D-28A20EB05976}"/>
            </c:ext>
          </c:extLst>
        </c:ser>
        <c:ser>
          <c:idx val="4"/>
          <c:order val="5"/>
          <c:tx>
            <c:strRef>
              <c:f>InflowData!$E$25</c:f>
              <c:strCache>
                <c:ptCount val="1"/>
                <c:pt idx="0">
                  <c:v>2020</c:v>
                </c:pt>
              </c:strCache>
            </c:strRef>
          </c:tx>
          <c:spPr>
            <a:solidFill>
              <a:srgbClr val="0070C0"/>
            </a:solidFill>
            <a:ln>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a:effectLst/>
          </c:spPr>
          <c:invertIfNegative val="0"/>
          <c:dPt>
            <c:idx val="3"/>
            <c:invertIfNegative val="0"/>
            <c:bubble3D val="0"/>
            <c:spPr>
              <a:solidFill>
                <a:srgbClr val="0070C0"/>
              </a:solidFill>
              <a:ln>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a:effectLst/>
            </c:spPr>
            <c:extLst>
              <c:ext xmlns:c16="http://schemas.microsoft.com/office/drawing/2014/chart" uri="{C3380CC4-5D6E-409C-BE32-E72D297353CC}">
                <c16:uniqueId val="{00000003-7FFA-44CC-9B6D-28A20EB05976}"/>
              </c:ext>
            </c:extLst>
          </c:dPt>
          <c:dPt>
            <c:idx val="4"/>
            <c:invertIfNegative val="0"/>
            <c:bubble3D val="0"/>
            <c:spPr>
              <a:solidFill>
                <a:srgbClr val="0070C0"/>
              </a:solidFill>
              <a:ln>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a:effectLst/>
            </c:spPr>
            <c:extLst>
              <c:ext xmlns:c16="http://schemas.microsoft.com/office/drawing/2014/chart" uri="{C3380CC4-5D6E-409C-BE32-E72D297353CC}">
                <c16:uniqueId val="{00000005-7FFA-44CC-9B6D-28A20EB05976}"/>
              </c:ext>
            </c:extLst>
          </c:dPt>
          <c:dPt>
            <c:idx val="5"/>
            <c:invertIfNegative val="0"/>
            <c:bubble3D val="0"/>
            <c:spPr>
              <a:solidFill>
                <a:srgbClr val="0070C0"/>
              </a:solidFill>
              <a:ln>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a:effectLst/>
            </c:spPr>
            <c:extLst>
              <c:ext xmlns:c16="http://schemas.microsoft.com/office/drawing/2014/chart" uri="{C3380CC4-5D6E-409C-BE32-E72D297353CC}">
                <c16:uniqueId val="{00000007-7FFA-44CC-9B6D-28A20EB05976}"/>
              </c:ext>
            </c:extLst>
          </c:dPt>
          <c:dPt>
            <c:idx val="6"/>
            <c:invertIfNegative val="0"/>
            <c:bubble3D val="0"/>
            <c:spPr>
              <a:solidFill>
                <a:srgbClr val="0070C0"/>
              </a:solidFill>
              <a:ln>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a:effectLst/>
            </c:spPr>
            <c:extLst>
              <c:ext xmlns:c16="http://schemas.microsoft.com/office/drawing/2014/chart" uri="{C3380CC4-5D6E-409C-BE32-E72D297353CC}">
                <c16:uniqueId val="{00000009-7FFA-44CC-9B6D-28A20EB05976}"/>
              </c:ext>
            </c:extLst>
          </c:dPt>
          <c:dPt>
            <c:idx val="7"/>
            <c:invertIfNegative val="0"/>
            <c:bubble3D val="0"/>
            <c:spPr>
              <a:solidFill>
                <a:srgbClr val="0070C0"/>
              </a:solidFill>
              <a:ln>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a:effectLst/>
            </c:spPr>
            <c:extLst>
              <c:ext xmlns:c16="http://schemas.microsoft.com/office/drawing/2014/chart" uri="{C3380CC4-5D6E-409C-BE32-E72D297353CC}">
                <c16:uniqueId val="{0000000B-7FFA-44CC-9B6D-28A20EB05976}"/>
              </c:ext>
            </c:extLst>
          </c:dPt>
          <c:dPt>
            <c:idx val="8"/>
            <c:invertIfNegative val="0"/>
            <c:bubble3D val="0"/>
            <c:spPr>
              <a:solidFill>
                <a:srgbClr val="0070C0"/>
              </a:solidFill>
              <a:ln>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a:effectLst/>
            </c:spPr>
            <c:extLst>
              <c:ext xmlns:c16="http://schemas.microsoft.com/office/drawing/2014/chart" uri="{C3380CC4-5D6E-409C-BE32-E72D297353CC}">
                <c16:uniqueId val="{0000000D-7FFA-44CC-9B6D-28A20EB05976}"/>
              </c:ext>
            </c:extLst>
          </c:dPt>
          <c:dPt>
            <c:idx val="9"/>
            <c:invertIfNegative val="0"/>
            <c:bubble3D val="0"/>
            <c:spPr>
              <a:solidFill>
                <a:srgbClr val="0070C0"/>
              </a:solidFill>
              <a:ln>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a:effectLst/>
            </c:spPr>
            <c:extLst>
              <c:ext xmlns:c16="http://schemas.microsoft.com/office/drawing/2014/chart" uri="{C3380CC4-5D6E-409C-BE32-E72D297353CC}">
                <c16:uniqueId val="{0000000F-7FFA-44CC-9B6D-28A20EB05976}"/>
              </c:ext>
            </c:extLst>
          </c:dPt>
          <c:dPt>
            <c:idx val="10"/>
            <c:invertIfNegative val="0"/>
            <c:bubble3D val="0"/>
            <c:spPr>
              <a:solidFill>
                <a:srgbClr val="0070C0"/>
              </a:solidFill>
              <a:ln>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a:effectLst/>
            </c:spPr>
            <c:extLst>
              <c:ext xmlns:c16="http://schemas.microsoft.com/office/drawing/2014/chart" uri="{C3380CC4-5D6E-409C-BE32-E72D297353CC}">
                <c16:uniqueId val="{00000011-7FFA-44CC-9B6D-28A20EB05976}"/>
              </c:ext>
            </c:extLst>
          </c:dPt>
          <c:dPt>
            <c:idx val="11"/>
            <c:invertIfNegative val="0"/>
            <c:bubble3D val="0"/>
            <c:spPr>
              <a:solidFill>
                <a:srgbClr val="0070C0"/>
              </a:solidFill>
              <a:ln>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a:effectLst/>
            </c:spPr>
            <c:extLst>
              <c:ext xmlns:c16="http://schemas.microsoft.com/office/drawing/2014/chart" uri="{C3380CC4-5D6E-409C-BE32-E72D297353CC}">
                <c16:uniqueId val="{00000013-7FFA-44CC-9B6D-28A20EB05976}"/>
              </c:ext>
            </c:extLst>
          </c:dPt>
          <c:cat>
            <c:strRef>
              <c:f>InflowData!$A$26:$A$37</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InflowData!$E$26:$E$37</c:f>
              <c:numCache>
                <c:formatCode>0</c:formatCode>
                <c:ptCount val="12"/>
                <c:pt idx="0">
                  <c:v>383</c:v>
                </c:pt>
                <c:pt idx="1">
                  <c:v>317</c:v>
                </c:pt>
                <c:pt idx="2">
                  <c:v>319</c:v>
                </c:pt>
                <c:pt idx="3">
                  <c:v>219</c:v>
                </c:pt>
                <c:pt idx="4">
                  <c:v>208</c:v>
                </c:pt>
                <c:pt idx="5">
                  <c:v>245</c:v>
                </c:pt>
                <c:pt idx="6">
                  <c:v>234</c:v>
                </c:pt>
                <c:pt idx="7">
                  <c:v>238</c:v>
                </c:pt>
                <c:pt idx="8">
                  <c:v>215</c:v>
                </c:pt>
                <c:pt idx="9">
                  <c:v>704</c:v>
                </c:pt>
                <c:pt idx="10">
                  <c:v>387</c:v>
                </c:pt>
                <c:pt idx="11">
                  <c:v>358</c:v>
                </c:pt>
              </c:numCache>
            </c:numRef>
          </c:val>
          <c:extLst>
            <c:ext xmlns:c16="http://schemas.microsoft.com/office/drawing/2014/chart" uri="{C3380CC4-5D6E-409C-BE32-E72D297353CC}">
              <c16:uniqueId val="{00000014-7FFA-44CC-9B6D-28A20EB05976}"/>
            </c:ext>
          </c:extLst>
        </c:ser>
        <c:ser>
          <c:idx val="6"/>
          <c:order val="6"/>
          <c:tx>
            <c:strRef>
              <c:f>InflowData!$D$25</c:f>
              <c:strCache>
                <c:ptCount val="1"/>
                <c:pt idx="0">
                  <c:v>2021</c:v>
                </c:pt>
              </c:strCache>
            </c:strRef>
          </c:tx>
          <c:spPr>
            <a:pattFill prst="lgCheck">
              <a:fgClr>
                <a:srgbClr val="C00000"/>
              </a:fgClr>
              <a:bgClr>
                <a:sysClr val="window" lastClr="FFFFFF"/>
              </a:bgClr>
            </a:pattFill>
            <a:ln>
              <a:noFill/>
            </a:ln>
            <a:effectLst/>
          </c:spPr>
          <c:invertIfNegative val="0"/>
          <c:dPt>
            <c:idx val="0"/>
            <c:invertIfNegative val="0"/>
            <c:bubble3D val="0"/>
            <c:spPr>
              <a:gradFill>
                <a:gsLst>
                  <a:gs pos="0">
                    <a:srgbClr val="C00000"/>
                  </a:gs>
                  <a:gs pos="100000">
                    <a:srgbClr val="D99694"/>
                  </a:gs>
                </a:gsLst>
                <a:lin ang="5400000" scaled="1"/>
              </a:gradFill>
              <a:ln>
                <a:noFill/>
              </a:ln>
              <a:effectLst/>
            </c:spPr>
            <c:extLst>
              <c:ext xmlns:c16="http://schemas.microsoft.com/office/drawing/2014/chart" uri="{C3380CC4-5D6E-409C-BE32-E72D297353CC}">
                <c16:uniqueId val="{00000016-7FFA-44CC-9B6D-28A20EB05976}"/>
              </c:ext>
            </c:extLst>
          </c:dPt>
          <c:dPt>
            <c:idx val="1"/>
            <c:invertIfNegative val="0"/>
            <c:bubble3D val="0"/>
            <c:spPr>
              <a:gradFill>
                <a:gsLst>
                  <a:gs pos="0">
                    <a:srgbClr val="C00000"/>
                  </a:gs>
                  <a:gs pos="100000">
                    <a:srgbClr val="D99694"/>
                  </a:gs>
                </a:gsLst>
                <a:lin ang="5400000" scaled="1"/>
              </a:gradFill>
              <a:ln>
                <a:noFill/>
              </a:ln>
              <a:effectLst/>
            </c:spPr>
            <c:extLst>
              <c:ext xmlns:c16="http://schemas.microsoft.com/office/drawing/2014/chart" uri="{C3380CC4-5D6E-409C-BE32-E72D297353CC}">
                <c16:uniqueId val="{00000018-7FFA-44CC-9B6D-28A20EB05976}"/>
              </c:ext>
            </c:extLst>
          </c:dPt>
          <c:dPt>
            <c:idx val="2"/>
            <c:invertIfNegative val="0"/>
            <c:bubble3D val="0"/>
            <c:spPr>
              <a:gradFill>
                <a:gsLst>
                  <a:gs pos="0">
                    <a:srgbClr val="C00000"/>
                  </a:gs>
                  <a:gs pos="100000">
                    <a:srgbClr val="D99694"/>
                  </a:gs>
                </a:gsLst>
                <a:lin ang="5400000" scaled="1"/>
              </a:gradFill>
              <a:ln>
                <a:noFill/>
              </a:ln>
              <a:effectLst/>
            </c:spPr>
            <c:extLst>
              <c:ext xmlns:c16="http://schemas.microsoft.com/office/drawing/2014/chart" uri="{C3380CC4-5D6E-409C-BE32-E72D297353CC}">
                <c16:uniqueId val="{0000001A-7FFA-44CC-9B6D-28A20EB05976}"/>
              </c:ext>
            </c:extLst>
          </c:dPt>
          <c:val>
            <c:numRef>
              <c:f>InflowData!$D$26:$D$37</c:f>
              <c:numCache>
                <c:formatCode>0</c:formatCode>
                <c:ptCount val="12"/>
                <c:pt idx="0">
                  <c:v>328</c:v>
                </c:pt>
                <c:pt idx="1">
                  <c:v>292</c:v>
                </c:pt>
                <c:pt idx="2">
                  <c:v>359</c:v>
                </c:pt>
                <c:pt idx="3">
                  <c:v>269.9920633739813</c:v>
                </c:pt>
                <c:pt idx="4">
                  <c:v>264.50601273938662</c:v>
                </c:pt>
                <c:pt idx="5">
                  <c:v>242.16994944139395</c:v>
                </c:pt>
                <c:pt idx="6">
                  <c:v>269.60020261436739</c:v>
                </c:pt>
                <c:pt idx="7">
                  <c:v>279.78858236432893</c:v>
                </c:pt>
                <c:pt idx="8">
                  <c:v>222.96877222031256</c:v>
                </c:pt>
                <c:pt idx="9">
                  <c:v>492.96083559429383</c:v>
                </c:pt>
                <c:pt idx="10">
                  <c:v>412.23751911382925</c:v>
                </c:pt>
                <c:pt idx="11">
                  <c:v>383.23982290240014</c:v>
                </c:pt>
              </c:numCache>
            </c:numRef>
          </c:val>
          <c:extLst>
            <c:ext xmlns:c16="http://schemas.microsoft.com/office/drawing/2014/chart" uri="{C3380CC4-5D6E-409C-BE32-E72D297353CC}">
              <c16:uniqueId val="{0000001B-7FFA-44CC-9B6D-28A20EB05976}"/>
            </c:ext>
          </c:extLst>
        </c:ser>
        <c:dLbls>
          <c:showLegendKey val="0"/>
          <c:showVal val="0"/>
          <c:showCatName val="0"/>
          <c:showSerName val="0"/>
          <c:showPercent val="0"/>
          <c:showBubbleSize val="0"/>
        </c:dLbls>
        <c:gapWidth val="219"/>
        <c:overlap val="-27"/>
        <c:axId val="46283392"/>
        <c:axId val="46305664"/>
        <c:extLst>
          <c:ext xmlns:c15="http://schemas.microsoft.com/office/drawing/2012/chart" uri="{02D57815-91ED-43cb-92C2-25804820EDAC}">
            <c15:filteredBarSeries>
              <c15:ser>
                <c:idx val="0"/>
                <c:order val="0"/>
                <c:tx>
                  <c:strRef>
                    <c:extLst>
                      <c:ext uri="{02D57815-91ED-43cb-92C2-25804820EDAC}">
                        <c15:formulaRef>
                          <c15:sqref>InflowData!$I$25</c15:sqref>
                        </c15:formulaRef>
                      </c:ext>
                    </c:extLst>
                    <c:strCache>
                      <c:ptCount val="1"/>
                      <c:pt idx="0">
                        <c:v>2016</c:v>
                      </c:pt>
                    </c:strCache>
                  </c:strRef>
                </c:tx>
                <c:spPr>
                  <a:solidFill>
                    <a:schemeClr val="accent1"/>
                  </a:solidFill>
                  <a:ln>
                    <a:noFill/>
                  </a:ln>
                  <a:effectLst/>
                </c:spPr>
                <c:invertIfNegative val="0"/>
                <c:dPt>
                  <c:idx val="0"/>
                  <c:invertIfNegative val="0"/>
                  <c:bubble3D val="0"/>
                  <c:spPr>
                    <a:gradFill>
                      <a:gsLst>
                        <a:gs pos="0">
                          <a:srgbClr val="4F81BD">
                            <a:lumMod val="5000"/>
                            <a:lumOff val="95000"/>
                          </a:srgbClr>
                        </a:gs>
                        <a:gs pos="74000">
                          <a:srgbClr val="9BBB59">
                            <a:lumMod val="50000"/>
                          </a:srgbClr>
                        </a:gs>
                        <a:gs pos="100000">
                          <a:srgbClr val="4F81BD">
                            <a:lumMod val="30000"/>
                            <a:lumOff val="70000"/>
                          </a:srgbClr>
                        </a:gs>
                      </a:gsLst>
                      <a:lin ang="5400000" scaled="1"/>
                    </a:gradFill>
                    <a:ln>
                      <a:solidFill>
                        <a:srgbClr val="9BBB59">
                          <a:lumMod val="75000"/>
                        </a:srgbClr>
                      </a:solidFill>
                    </a:ln>
                    <a:effectLst/>
                  </c:spPr>
                  <c:extLst>
                    <c:ext xmlns:c16="http://schemas.microsoft.com/office/drawing/2014/chart" uri="{C3380CC4-5D6E-409C-BE32-E72D297353CC}">
                      <c16:uniqueId val="{0000001D-7FFA-44CC-9B6D-28A20EB05976}"/>
                    </c:ext>
                  </c:extLst>
                </c:dPt>
                <c:dPt>
                  <c:idx val="1"/>
                  <c:invertIfNegative val="0"/>
                  <c:bubble3D val="0"/>
                  <c:spPr>
                    <a:gradFill>
                      <a:gsLst>
                        <a:gs pos="0">
                          <a:srgbClr val="4F81BD">
                            <a:lumMod val="5000"/>
                            <a:lumOff val="95000"/>
                          </a:srgbClr>
                        </a:gs>
                        <a:gs pos="74000">
                          <a:srgbClr val="9BBB59">
                            <a:lumMod val="50000"/>
                          </a:srgbClr>
                        </a:gs>
                        <a:gs pos="100000">
                          <a:srgbClr val="4F81BD">
                            <a:lumMod val="30000"/>
                            <a:lumOff val="70000"/>
                          </a:srgbClr>
                        </a:gs>
                      </a:gsLst>
                      <a:lin ang="5400000" scaled="1"/>
                    </a:gradFill>
                    <a:ln>
                      <a:solidFill>
                        <a:srgbClr val="9BBB59">
                          <a:lumMod val="50000"/>
                        </a:srgbClr>
                      </a:solidFill>
                    </a:ln>
                    <a:effectLst/>
                  </c:spPr>
                  <c:extLst>
                    <c:ext xmlns:c16="http://schemas.microsoft.com/office/drawing/2014/chart" uri="{C3380CC4-5D6E-409C-BE32-E72D297353CC}">
                      <c16:uniqueId val="{0000001F-7FFA-44CC-9B6D-28A20EB05976}"/>
                    </c:ext>
                  </c:extLst>
                </c:dPt>
                <c:dPt>
                  <c:idx val="2"/>
                  <c:invertIfNegative val="0"/>
                  <c:bubble3D val="0"/>
                  <c:spPr>
                    <a:gradFill>
                      <a:gsLst>
                        <a:gs pos="0">
                          <a:srgbClr val="4F81BD">
                            <a:lumMod val="5000"/>
                            <a:lumOff val="95000"/>
                          </a:srgbClr>
                        </a:gs>
                        <a:gs pos="74000">
                          <a:srgbClr val="9BBB59">
                            <a:lumMod val="75000"/>
                          </a:srgbClr>
                        </a:gs>
                        <a:gs pos="100000">
                          <a:srgbClr val="4F81BD">
                            <a:lumMod val="30000"/>
                            <a:lumOff val="70000"/>
                          </a:srgbClr>
                        </a:gs>
                      </a:gsLst>
                      <a:lin ang="5400000" scaled="1"/>
                    </a:gradFill>
                    <a:ln>
                      <a:solidFill>
                        <a:srgbClr val="92D050"/>
                      </a:solidFill>
                    </a:ln>
                    <a:effectLst/>
                  </c:spPr>
                  <c:extLst>
                    <c:ext xmlns:c16="http://schemas.microsoft.com/office/drawing/2014/chart" uri="{C3380CC4-5D6E-409C-BE32-E72D297353CC}">
                      <c16:uniqueId val="{00000021-7FFA-44CC-9B6D-28A20EB05976}"/>
                    </c:ext>
                  </c:extLst>
                </c:dPt>
                <c:dPt>
                  <c:idx val="3"/>
                  <c:invertIfNegative val="0"/>
                  <c:bubble3D val="0"/>
                  <c:spPr>
                    <a:gradFill>
                      <a:gsLst>
                        <a:gs pos="0">
                          <a:srgbClr val="4F81BD">
                            <a:lumMod val="5000"/>
                            <a:lumOff val="95000"/>
                          </a:srgbClr>
                        </a:gs>
                        <a:gs pos="74000">
                          <a:srgbClr val="9BBB59">
                            <a:lumMod val="50000"/>
                          </a:srgbClr>
                        </a:gs>
                        <a:gs pos="100000">
                          <a:srgbClr val="4F81BD">
                            <a:lumMod val="30000"/>
                            <a:lumOff val="70000"/>
                          </a:srgbClr>
                        </a:gs>
                      </a:gsLst>
                      <a:lin ang="5400000" scaled="1"/>
                    </a:gradFill>
                    <a:ln>
                      <a:solidFill>
                        <a:srgbClr val="92D050"/>
                      </a:solidFill>
                    </a:ln>
                    <a:effectLst/>
                  </c:spPr>
                  <c:extLst>
                    <c:ext xmlns:c16="http://schemas.microsoft.com/office/drawing/2014/chart" uri="{C3380CC4-5D6E-409C-BE32-E72D297353CC}">
                      <c16:uniqueId val="{00000023-7FFA-44CC-9B6D-28A20EB05976}"/>
                    </c:ext>
                  </c:extLst>
                </c:dPt>
                <c:dPt>
                  <c:idx val="4"/>
                  <c:invertIfNegative val="0"/>
                  <c:bubble3D val="0"/>
                  <c:spPr>
                    <a:gradFill>
                      <a:gsLst>
                        <a:gs pos="0">
                          <a:srgbClr val="4F81BD">
                            <a:lumMod val="5000"/>
                            <a:lumOff val="95000"/>
                          </a:srgbClr>
                        </a:gs>
                        <a:gs pos="74000">
                          <a:srgbClr val="9BBB59">
                            <a:lumMod val="50000"/>
                          </a:srgbClr>
                        </a:gs>
                        <a:gs pos="100000">
                          <a:srgbClr val="4F81BD">
                            <a:lumMod val="30000"/>
                            <a:lumOff val="70000"/>
                          </a:srgbClr>
                        </a:gs>
                      </a:gsLst>
                      <a:lin ang="5400000" scaled="1"/>
                    </a:gradFill>
                    <a:ln>
                      <a:solidFill>
                        <a:srgbClr val="92D050"/>
                      </a:solidFill>
                    </a:ln>
                    <a:effectLst/>
                  </c:spPr>
                  <c:extLst>
                    <c:ext xmlns:c16="http://schemas.microsoft.com/office/drawing/2014/chart" uri="{C3380CC4-5D6E-409C-BE32-E72D297353CC}">
                      <c16:uniqueId val="{00000025-7FFA-44CC-9B6D-28A20EB05976}"/>
                    </c:ext>
                  </c:extLst>
                </c:dPt>
                <c:dPt>
                  <c:idx val="5"/>
                  <c:invertIfNegative val="0"/>
                  <c:bubble3D val="0"/>
                  <c:spPr>
                    <a:gradFill>
                      <a:gsLst>
                        <a:gs pos="0">
                          <a:srgbClr val="4F81BD">
                            <a:lumMod val="5000"/>
                            <a:lumOff val="95000"/>
                          </a:srgbClr>
                        </a:gs>
                        <a:gs pos="74000">
                          <a:srgbClr val="9BBB59">
                            <a:lumMod val="50000"/>
                          </a:srgbClr>
                        </a:gs>
                        <a:gs pos="100000">
                          <a:srgbClr val="4F81BD">
                            <a:lumMod val="30000"/>
                            <a:lumOff val="70000"/>
                          </a:srgbClr>
                        </a:gs>
                      </a:gsLst>
                      <a:lin ang="5400000" scaled="1"/>
                    </a:gradFill>
                    <a:ln>
                      <a:solidFill>
                        <a:srgbClr val="92D050"/>
                      </a:solidFill>
                    </a:ln>
                    <a:effectLst/>
                  </c:spPr>
                  <c:extLst>
                    <c:ext xmlns:c16="http://schemas.microsoft.com/office/drawing/2014/chart" uri="{C3380CC4-5D6E-409C-BE32-E72D297353CC}">
                      <c16:uniqueId val="{00000027-7FFA-44CC-9B6D-28A20EB05976}"/>
                    </c:ext>
                  </c:extLst>
                </c:dPt>
                <c:dPt>
                  <c:idx val="6"/>
                  <c:invertIfNegative val="0"/>
                  <c:bubble3D val="0"/>
                  <c:spPr>
                    <a:gradFill>
                      <a:gsLst>
                        <a:gs pos="0">
                          <a:srgbClr val="4F81BD">
                            <a:lumMod val="5000"/>
                            <a:lumOff val="95000"/>
                          </a:srgbClr>
                        </a:gs>
                        <a:gs pos="74000">
                          <a:srgbClr val="9BBB59">
                            <a:lumMod val="50000"/>
                          </a:srgbClr>
                        </a:gs>
                        <a:gs pos="100000">
                          <a:srgbClr val="4F81BD">
                            <a:lumMod val="30000"/>
                            <a:lumOff val="70000"/>
                          </a:srgbClr>
                        </a:gs>
                      </a:gsLst>
                      <a:lin ang="5400000" scaled="1"/>
                    </a:gradFill>
                    <a:ln>
                      <a:solidFill>
                        <a:srgbClr val="92D050"/>
                      </a:solidFill>
                    </a:ln>
                    <a:effectLst/>
                  </c:spPr>
                  <c:extLst>
                    <c:ext xmlns:c16="http://schemas.microsoft.com/office/drawing/2014/chart" uri="{C3380CC4-5D6E-409C-BE32-E72D297353CC}">
                      <c16:uniqueId val="{00000029-7FFA-44CC-9B6D-28A20EB05976}"/>
                    </c:ext>
                  </c:extLst>
                </c:dPt>
                <c:dPt>
                  <c:idx val="7"/>
                  <c:invertIfNegative val="0"/>
                  <c:bubble3D val="0"/>
                  <c:spPr>
                    <a:gradFill>
                      <a:gsLst>
                        <a:gs pos="0">
                          <a:srgbClr val="4F81BD">
                            <a:lumMod val="5000"/>
                            <a:lumOff val="95000"/>
                          </a:srgbClr>
                        </a:gs>
                        <a:gs pos="74000">
                          <a:srgbClr val="9BBB59">
                            <a:lumMod val="50000"/>
                          </a:srgbClr>
                        </a:gs>
                        <a:gs pos="100000">
                          <a:srgbClr val="4F81BD">
                            <a:lumMod val="30000"/>
                            <a:lumOff val="70000"/>
                          </a:srgbClr>
                        </a:gs>
                      </a:gsLst>
                      <a:lin ang="5400000" scaled="1"/>
                    </a:gradFill>
                    <a:ln>
                      <a:solidFill>
                        <a:srgbClr val="92D050"/>
                      </a:solidFill>
                    </a:ln>
                    <a:effectLst/>
                  </c:spPr>
                  <c:extLst>
                    <c:ext xmlns:c16="http://schemas.microsoft.com/office/drawing/2014/chart" uri="{C3380CC4-5D6E-409C-BE32-E72D297353CC}">
                      <c16:uniqueId val="{0000002B-7FFA-44CC-9B6D-28A20EB05976}"/>
                    </c:ext>
                  </c:extLst>
                </c:dPt>
                <c:dPt>
                  <c:idx val="8"/>
                  <c:invertIfNegative val="0"/>
                  <c:bubble3D val="0"/>
                  <c:spPr>
                    <a:gradFill>
                      <a:gsLst>
                        <a:gs pos="0">
                          <a:srgbClr val="4F81BD">
                            <a:lumMod val="5000"/>
                            <a:lumOff val="95000"/>
                          </a:srgbClr>
                        </a:gs>
                        <a:gs pos="74000">
                          <a:srgbClr val="9BBB59">
                            <a:lumMod val="50000"/>
                          </a:srgbClr>
                        </a:gs>
                        <a:gs pos="100000">
                          <a:srgbClr val="4F81BD">
                            <a:lumMod val="30000"/>
                            <a:lumOff val="70000"/>
                          </a:srgbClr>
                        </a:gs>
                      </a:gsLst>
                      <a:lin ang="5400000" scaled="1"/>
                    </a:gradFill>
                    <a:ln>
                      <a:solidFill>
                        <a:srgbClr val="92D050"/>
                      </a:solidFill>
                    </a:ln>
                    <a:effectLst/>
                  </c:spPr>
                  <c:extLst>
                    <c:ext xmlns:c16="http://schemas.microsoft.com/office/drawing/2014/chart" uri="{C3380CC4-5D6E-409C-BE32-E72D297353CC}">
                      <c16:uniqueId val="{0000002D-7FFA-44CC-9B6D-28A20EB05976}"/>
                    </c:ext>
                  </c:extLst>
                </c:dPt>
                <c:dPt>
                  <c:idx val="9"/>
                  <c:invertIfNegative val="0"/>
                  <c:bubble3D val="0"/>
                  <c:spPr>
                    <a:gradFill>
                      <a:gsLst>
                        <a:gs pos="0">
                          <a:srgbClr val="4F81BD">
                            <a:lumMod val="5000"/>
                            <a:lumOff val="95000"/>
                          </a:srgbClr>
                        </a:gs>
                        <a:gs pos="74000">
                          <a:srgbClr val="9BBB59">
                            <a:lumMod val="50000"/>
                          </a:srgbClr>
                        </a:gs>
                        <a:gs pos="100000">
                          <a:srgbClr val="4F81BD">
                            <a:lumMod val="30000"/>
                            <a:lumOff val="70000"/>
                          </a:srgbClr>
                        </a:gs>
                      </a:gsLst>
                      <a:lin ang="5400000" scaled="1"/>
                    </a:gradFill>
                    <a:ln>
                      <a:solidFill>
                        <a:srgbClr val="92D050"/>
                      </a:solidFill>
                    </a:ln>
                    <a:effectLst/>
                  </c:spPr>
                  <c:extLst>
                    <c:ext xmlns:c16="http://schemas.microsoft.com/office/drawing/2014/chart" uri="{C3380CC4-5D6E-409C-BE32-E72D297353CC}">
                      <c16:uniqueId val="{0000002F-7FFA-44CC-9B6D-28A20EB05976}"/>
                    </c:ext>
                  </c:extLst>
                </c:dPt>
                <c:dPt>
                  <c:idx val="10"/>
                  <c:invertIfNegative val="0"/>
                  <c:bubble3D val="0"/>
                  <c:spPr>
                    <a:gradFill>
                      <a:gsLst>
                        <a:gs pos="0">
                          <a:srgbClr val="4F81BD">
                            <a:lumMod val="5000"/>
                            <a:lumOff val="95000"/>
                          </a:srgbClr>
                        </a:gs>
                        <a:gs pos="74000">
                          <a:srgbClr val="9BBB59">
                            <a:lumMod val="50000"/>
                          </a:srgbClr>
                        </a:gs>
                        <a:gs pos="100000">
                          <a:srgbClr val="4F81BD">
                            <a:lumMod val="30000"/>
                            <a:lumOff val="70000"/>
                          </a:srgbClr>
                        </a:gs>
                      </a:gsLst>
                      <a:lin ang="5400000" scaled="1"/>
                    </a:gradFill>
                    <a:ln>
                      <a:solidFill>
                        <a:srgbClr val="92D050"/>
                      </a:solidFill>
                    </a:ln>
                    <a:effectLst/>
                  </c:spPr>
                  <c:extLst>
                    <c:ext xmlns:c16="http://schemas.microsoft.com/office/drawing/2014/chart" uri="{C3380CC4-5D6E-409C-BE32-E72D297353CC}">
                      <c16:uniqueId val="{00000031-7FFA-44CC-9B6D-28A20EB05976}"/>
                    </c:ext>
                  </c:extLst>
                </c:dPt>
                <c:dPt>
                  <c:idx val="11"/>
                  <c:invertIfNegative val="0"/>
                  <c:bubble3D val="0"/>
                  <c:spPr>
                    <a:gradFill>
                      <a:gsLst>
                        <a:gs pos="0">
                          <a:srgbClr val="4F81BD">
                            <a:lumMod val="5000"/>
                            <a:lumOff val="95000"/>
                          </a:srgbClr>
                        </a:gs>
                        <a:gs pos="74000">
                          <a:srgbClr val="9BBB59">
                            <a:lumMod val="50000"/>
                          </a:srgbClr>
                        </a:gs>
                        <a:gs pos="100000">
                          <a:srgbClr val="4F81BD">
                            <a:lumMod val="30000"/>
                            <a:lumOff val="70000"/>
                          </a:srgbClr>
                        </a:gs>
                      </a:gsLst>
                      <a:lin ang="5400000" scaled="1"/>
                    </a:gradFill>
                    <a:ln>
                      <a:solidFill>
                        <a:srgbClr val="92D050"/>
                      </a:solidFill>
                    </a:ln>
                    <a:effectLst/>
                  </c:spPr>
                  <c:extLst>
                    <c:ext xmlns:c16="http://schemas.microsoft.com/office/drawing/2014/chart" uri="{C3380CC4-5D6E-409C-BE32-E72D297353CC}">
                      <c16:uniqueId val="{00000033-7FFA-44CC-9B6D-28A20EB05976}"/>
                    </c:ext>
                  </c:extLst>
                </c:dPt>
                <c:cat>
                  <c:strRef>
                    <c:extLst>
                      <c:ext uri="{02D57815-91ED-43cb-92C2-25804820EDAC}">
                        <c15:formulaRef>
                          <c15:sqref>InflowData!$A$26:$A$37</c15:sqref>
                        </c15:formulaRef>
                      </c:ext>
                    </c:extLst>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extLst>
                      <c:ext uri="{02D57815-91ED-43cb-92C2-25804820EDAC}">
                        <c15:formulaRef>
                          <c15:sqref>InflowData!$I$26:$I$37</c15:sqref>
                        </c15:formulaRef>
                      </c:ext>
                    </c:extLst>
                    <c:numCache>
                      <c:formatCode>General</c:formatCode>
                      <c:ptCount val="12"/>
                      <c:pt idx="0">
                        <c:v>131</c:v>
                      </c:pt>
                      <c:pt idx="1">
                        <c:v>129</c:v>
                      </c:pt>
                      <c:pt idx="2">
                        <c:v>185</c:v>
                      </c:pt>
                      <c:pt idx="3">
                        <c:v>93</c:v>
                      </c:pt>
                      <c:pt idx="4">
                        <c:v>91</c:v>
                      </c:pt>
                      <c:pt idx="5">
                        <c:v>120</c:v>
                      </c:pt>
                      <c:pt idx="6">
                        <c:v>117</c:v>
                      </c:pt>
                      <c:pt idx="7">
                        <c:v>144</c:v>
                      </c:pt>
                      <c:pt idx="8">
                        <c:v>165</c:v>
                      </c:pt>
                      <c:pt idx="9">
                        <c:v>113</c:v>
                      </c:pt>
                      <c:pt idx="10">
                        <c:v>140</c:v>
                      </c:pt>
                      <c:pt idx="11">
                        <c:v>240</c:v>
                      </c:pt>
                    </c:numCache>
                  </c:numRef>
                </c:val>
                <c:extLst>
                  <c:ext xmlns:c16="http://schemas.microsoft.com/office/drawing/2014/chart" uri="{C3380CC4-5D6E-409C-BE32-E72D297353CC}">
                    <c16:uniqueId val="{00000034-7FFA-44CC-9B6D-28A20EB05976}"/>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InflowData!$H$25</c15:sqref>
                        </c15:formulaRef>
                      </c:ext>
                    </c:extLst>
                    <c:strCache>
                      <c:ptCount val="1"/>
                      <c:pt idx="0">
                        <c:v>2017</c:v>
                      </c:pt>
                    </c:strCache>
                  </c:strRef>
                </c:tx>
                <c:spPr>
                  <a:gradFill>
                    <a:gsLst>
                      <a:gs pos="0">
                        <a:srgbClr val="5B9BD5">
                          <a:lumMod val="40000"/>
                          <a:lumOff val="60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a:noFill/>
                  </a:ln>
                  <a:effectLst/>
                </c:spPr>
                <c:invertIfNegative val="0"/>
                <c:cat>
                  <c:strRef>
                    <c:extLst xmlns:c15="http://schemas.microsoft.com/office/drawing/2012/chart">
                      <c:ext xmlns:c15="http://schemas.microsoft.com/office/drawing/2012/chart" uri="{02D57815-91ED-43cb-92C2-25804820EDAC}">
                        <c15:formulaRef>
                          <c15:sqref>InflowData!$A$26:$A$37</c15:sqref>
                        </c15:formulaRef>
                      </c:ext>
                    </c:extLst>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extLst xmlns:c15="http://schemas.microsoft.com/office/drawing/2012/chart">
                      <c:ext xmlns:c15="http://schemas.microsoft.com/office/drawing/2012/chart" uri="{02D57815-91ED-43cb-92C2-25804820EDAC}">
                        <c15:formulaRef>
                          <c15:sqref>InflowData!$H$26:$H$37</c15:sqref>
                        </c15:formulaRef>
                      </c:ext>
                    </c:extLst>
                    <c:numCache>
                      <c:formatCode>General</c:formatCode>
                      <c:ptCount val="12"/>
                      <c:pt idx="0">
                        <c:v>240</c:v>
                      </c:pt>
                      <c:pt idx="1">
                        <c:v>190</c:v>
                      </c:pt>
                      <c:pt idx="2">
                        <c:v>212</c:v>
                      </c:pt>
                      <c:pt idx="3">
                        <c:v>126</c:v>
                      </c:pt>
                      <c:pt idx="4">
                        <c:v>126</c:v>
                      </c:pt>
                      <c:pt idx="5">
                        <c:v>146</c:v>
                      </c:pt>
                      <c:pt idx="6">
                        <c:v>138</c:v>
                      </c:pt>
                      <c:pt idx="7">
                        <c:v>199</c:v>
                      </c:pt>
                      <c:pt idx="8">
                        <c:v>213</c:v>
                      </c:pt>
                      <c:pt idx="9">
                        <c:v>260</c:v>
                      </c:pt>
                      <c:pt idx="10">
                        <c:v>267</c:v>
                      </c:pt>
                      <c:pt idx="11">
                        <c:v>332</c:v>
                      </c:pt>
                    </c:numCache>
                  </c:numRef>
                </c:val>
                <c:extLst xmlns:c15="http://schemas.microsoft.com/office/drawing/2012/chart">
                  <c:ext xmlns:c16="http://schemas.microsoft.com/office/drawing/2014/chart" uri="{C3380CC4-5D6E-409C-BE32-E72D297353CC}">
                    <c16:uniqueId val="{00000035-7FFA-44CC-9B6D-28A20EB05976}"/>
                  </c:ext>
                </c:extLst>
              </c15:ser>
            </c15:filteredBarSeries>
            <c15:filteredBarSeries>
              <c15:ser>
                <c:idx val="5"/>
                <c:order val="4"/>
                <c:tx>
                  <c:strRef>
                    <c:extLst xmlns:c15="http://schemas.microsoft.com/office/drawing/2012/chart">
                      <c:ext xmlns:c15="http://schemas.microsoft.com/office/drawing/2012/chart" uri="{02D57815-91ED-43cb-92C2-25804820EDAC}">
                        <c15:formulaRef>
                          <c15:sqref>InflowData!$C$25</c15:sqref>
                        </c15:formulaRef>
                      </c:ext>
                    </c:extLst>
                    <c:strCache>
                      <c:ptCount val="1"/>
                      <c:pt idx="0">
                        <c:v>3-year average</c:v>
                      </c:pt>
                    </c:strCache>
                  </c:strRef>
                </c:tx>
                <c:spPr>
                  <a:solidFill>
                    <a:schemeClr val="accent5">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InflowData!$A$26:$A$37</c15:sqref>
                        </c15:formulaRef>
                      </c:ext>
                    </c:extLst>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extLst xmlns:c15="http://schemas.microsoft.com/office/drawing/2012/chart">
                      <c:ext xmlns:c15="http://schemas.microsoft.com/office/drawing/2012/chart" uri="{02D57815-91ED-43cb-92C2-25804820EDAC}">
                        <c15:formulaRef>
                          <c15:sqref>InflowData!$C$26:$C$37</c15:sqref>
                        </c15:formulaRef>
                      </c:ext>
                    </c:extLst>
                    <c:numCache>
                      <c:formatCode>0</c:formatCode>
                      <c:ptCount val="12"/>
                      <c:pt idx="0">
                        <c:v>316</c:v>
                      </c:pt>
                      <c:pt idx="1">
                        <c:v>261.33333333333331</c:v>
                      </c:pt>
                      <c:pt idx="2">
                        <c:v>274.33333333333331</c:v>
                      </c:pt>
                      <c:pt idx="3">
                        <c:v>229.66666666666666</c:v>
                      </c:pt>
                      <c:pt idx="4">
                        <c:v>225</c:v>
                      </c:pt>
                      <c:pt idx="5">
                        <c:v>206</c:v>
                      </c:pt>
                      <c:pt idx="6">
                        <c:v>229.33333333333334</c:v>
                      </c:pt>
                      <c:pt idx="7">
                        <c:v>238</c:v>
                      </c:pt>
                      <c:pt idx="8">
                        <c:v>189.66666666666666</c:v>
                      </c:pt>
                      <c:pt idx="9">
                        <c:v>419.33333333333331</c:v>
                      </c:pt>
                      <c:pt idx="10">
                        <c:v>350.66666666666669</c:v>
                      </c:pt>
                      <c:pt idx="11">
                        <c:v>326</c:v>
                      </c:pt>
                    </c:numCache>
                  </c:numRef>
                </c:val>
                <c:extLst xmlns:c15="http://schemas.microsoft.com/office/drawing/2012/chart">
                  <c:ext xmlns:c16="http://schemas.microsoft.com/office/drawing/2014/chart" uri="{C3380CC4-5D6E-409C-BE32-E72D297353CC}">
                    <c16:uniqueId val="{00000036-7FFA-44CC-9B6D-28A20EB05976}"/>
                  </c:ext>
                </c:extLst>
              </c15:ser>
            </c15:filteredBarSeries>
          </c:ext>
        </c:extLst>
      </c:barChart>
      <c:catAx>
        <c:axId val="46283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305664"/>
        <c:crosses val="autoZero"/>
        <c:auto val="1"/>
        <c:lblAlgn val="ctr"/>
        <c:lblOffset val="100"/>
        <c:noMultiLvlLbl val="1"/>
      </c:catAx>
      <c:valAx>
        <c:axId val="46305664"/>
        <c:scaling>
          <c:orientation val="minMax"/>
          <c:max val="725"/>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283392"/>
        <c:crosses val="autoZero"/>
        <c:crossBetween val="between"/>
      </c:valAx>
      <c:spPr>
        <a:noFill/>
        <a:ln>
          <a:noFill/>
        </a:ln>
        <a:effectLst/>
      </c:spPr>
    </c:plotArea>
    <c:legend>
      <c:legendPos val="t"/>
      <c:layout>
        <c:manualLayout>
          <c:xMode val="edge"/>
          <c:yMode val="edge"/>
          <c:x val="0.24680011621436626"/>
          <c:y val="9.2001839186160131E-2"/>
          <c:w val="0.34498352809088356"/>
          <c:h val="0.1032208747629174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1">
  <a:schemeClr val="accent1"/>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0.63665</cdr:x>
      <cdr:y>0.19756</cdr:y>
    </cdr:from>
    <cdr:to>
      <cdr:x>0.73783</cdr:x>
      <cdr:y>0.28357</cdr:y>
    </cdr:to>
    <cdr:sp macro="" textlink="">
      <cdr:nvSpPr>
        <cdr:cNvPr id="2" name="TextBox 1">
          <a:extLst xmlns:a="http://schemas.openxmlformats.org/drawingml/2006/main">
            <a:ext uri="{FF2B5EF4-FFF2-40B4-BE49-F238E27FC236}">
              <a16:creationId xmlns:a16="http://schemas.microsoft.com/office/drawing/2014/main" id="{15B349AB-BA10-4828-932C-A52DF027AA5E}"/>
            </a:ext>
          </a:extLst>
        </cdr:cNvPr>
        <cdr:cNvSpPr txBox="1"/>
      </cdr:nvSpPr>
      <cdr:spPr>
        <a:xfrm xmlns:a="http://schemas.openxmlformats.org/drawingml/2006/main">
          <a:off x="6817517" y="847725"/>
          <a:ext cx="1083469" cy="36909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0.58043</cdr:x>
      <cdr:y>0.15871</cdr:y>
    </cdr:from>
    <cdr:to>
      <cdr:x>0.96068</cdr:x>
      <cdr:y>0.2788</cdr:y>
    </cdr:to>
    <cdr:cxnSp macro="">
      <cdr:nvCxnSpPr>
        <cdr:cNvPr id="6" name="Connector: Elbow 5">
          <a:extLst xmlns:a="http://schemas.openxmlformats.org/drawingml/2006/main">
            <a:ext uri="{FF2B5EF4-FFF2-40B4-BE49-F238E27FC236}">
              <a16:creationId xmlns:a16="http://schemas.microsoft.com/office/drawing/2014/main" id="{44A878BB-62A4-42EA-8FFB-9401CB16E0BE}"/>
            </a:ext>
          </a:extLst>
        </cdr:cNvPr>
        <cdr:cNvCxnSpPr/>
      </cdr:nvCxnSpPr>
      <cdr:spPr>
        <a:xfrm xmlns:a="http://schemas.openxmlformats.org/drawingml/2006/main" rot="10800000" flipV="1">
          <a:off x="4245997" y="832852"/>
          <a:ext cx="2781571" cy="630187"/>
        </a:xfrm>
        <a:prstGeom xmlns:a="http://schemas.openxmlformats.org/drawingml/2006/main" prst="bentConnector3">
          <a:avLst/>
        </a:prstGeom>
        <a:ln xmlns:a="http://schemas.openxmlformats.org/drawingml/2006/main">
          <a:solidFill>
            <a:srgbClr val="008080"/>
          </a:solidFill>
          <a:tailEnd type="ova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0.23158</cdr:x>
      <cdr:y>0.23426</cdr:y>
    </cdr:from>
    <cdr:to>
      <cdr:x>0.60702</cdr:x>
      <cdr:y>0.33333</cdr:y>
    </cdr:to>
    <cdr:sp macro="" textlink="">
      <cdr:nvSpPr>
        <cdr:cNvPr id="7" name="TextBox 6">
          <a:extLst xmlns:a="http://schemas.openxmlformats.org/drawingml/2006/main">
            <a:ext uri="{FF2B5EF4-FFF2-40B4-BE49-F238E27FC236}">
              <a16:creationId xmlns:a16="http://schemas.microsoft.com/office/drawing/2014/main" id="{11A9B35F-C99F-4385-B32B-F8A64C853456}"/>
            </a:ext>
          </a:extLst>
        </cdr:cNvPr>
        <cdr:cNvSpPr txBox="1"/>
      </cdr:nvSpPr>
      <cdr:spPr>
        <a:xfrm xmlns:a="http://schemas.openxmlformats.org/drawingml/2006/main">
          <a:off x="1257300" y="716256"/>
          <a:ext cx="2038349" cy="3029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1050" b="0">
              <a:solidFill>
                <a:sysClr val="windowText" lastClr="000000"/>
              </a:solidFill>
              <a:latin typeface="Abadi" panose="020B0604020202020204" pitchFamily="34" charset="0"/>
            </a:rPr>
            <a:t>Forecasting</a:t>
          </a:r>
          <a:r>
            <a:rPr lang="en-US" sz="1050" b="0" baseline="0">
              <a:solidFill>
                <a:sysClr val="windowText" lastClr="000000"/>
              </a:solidFill>
              <a:latin typeface="Abadi" panose="020B0604020202020204" pitchFamily="34" charset="0"/>
            </a:rPr>
            <a:t> </a:t>
          </a:r>
          <a:r>
            <a:rPr lang="en-US" sz="1100" b="0" baseline="0">
              <a:solidFill>
                <a:sysClr val="windowText" lastClr="000000"/>
              </a:solidFill>
            </a:rPr>
            <a:t>473,300</a:t>
          </a:r>
          <a:r>
            <a:rPr lang="en-US" sz="1000" b="0" baseline="0">
              <a:solidFill>
                <a:sysClr val="windowText" lastClr="000000"/>
              </a:solidFill>
            </a:rPr>
            <a:t> Therms</a:t>
          </a:r>
          <a:endParaRPr lang="en-US" sz="1000" b="0">
            <a:solidFill>
              <a:sysClr val="windowText" lastClr="000000"/>
            </a:solidFill>
          </a:endParaRPr>
        </a:p>
      </cdr:txBody>
    </cdr:sp>
  </cdr:relSizeAnchor>
  <cdr:relSizeAnchor xmlns:cdr="http://schemas.openxmlformats.org/drawingml/2006/chartDrawing">
    <cdr:from>
      <cdr:x>0.69446</cdr:x>
      <cdr:y>0.57214</cdr:y>
    </cdr:from>
    <cdr:to>
      <cdr:x>0.86458</cdr:x>
      <cdr:y>0.7303</cdr:y>
    </cdr:to>
    <cdr:sp macro="" textlink="">
      <cdr:nvSpPr>
        <cdr:cNvPr id="4" name="TextBox 3"/>
        <cdr:cNvSpPr txBox="1"/>
      </cdr:nvSpPr>
      <cdr:spPr>
        <a:xfrm xmlns:a="http://schemas.openxmlformats.org/drawingml/2006/main">
          <a:off x="7436642" y="2455070"/>
          <a:ext cx="1821656" cy="67865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27ECFD-084F-4E04-928A-16D758136C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7</Pages>
  <Words>1777</Words>
  <Characters>10132</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MDU Resoures Group</Company>
  <LinksUpToDate>false</LinksUpToDate>
  <CharactersWithSpaces>11886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Monica Cowlishaw</dc:creator>
  <cp:lastModifiedBy>Cowlishaw, Monica</cp:lastModifiedBy>
  <cp:revision>4</cp:revision>
  <dcterms:created xsi:type="dcterms:W3CDTF">2021-04-15T23:07:00Z</dcterms:created>
  <dcterms:modified xsi:type="dcterms:W3CDTF">2021-04-16T01:05:00Z</dcterms:modified>
</cp:coreProperties>
</file>